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黑体" w:hAnsi="宋体" w:eastAsia="黑体"/>
          <w:b/>
          <w:color w:val="000000"/>
          <w:sz w:val="32"/>
          <w:szCs w:val="32"/>
        </w:rPr>
      </w:pPr>
      <w:r>
        <w:rPr>
          <w:rFonts w:hint="eastAsia" w:ascii="黑体" w:hAnsi="宋体" w:eastAsia="黑体"/>
          <w:b/>
          <w:color w:val="000000"/>
          <w:sz w:val="32"/>
          <w:szCs w:val="32"/>
        </w:rPr>
        <w:t>拍卖标的瑕疵说明及确认书</w:t>
      </w:r>
    </w:p>
    <w:p>
      <w:pPr>
        <w:spacing w:line="480" w:lineRule="exact"/>
        <w:rPr>
          <w:rFonts w:hint="eastAsia" w:ascii="仿宋_GB2312" w:hAnsi="宋体" w:eastAsia="仿宋_GB2312"/>
          <w:color w:val="000000"/>
          <w:sz w:val="28"/>
          <w:szCs w:val="28"/>
          <w:u w:val="single"/>
        </w:rPr>
      </w:pP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本次拍卖转让标的为中国长城资产管理股份有限公司山东省分公司（以下简称：长城公司山东分公司）拥有的</w:t>
      </w:r>
      <w:bookmarkStart w:id="0" w:name="_GoBack"/>
      <w:r>
        <w:rPr>
          <w:rFonts w:hint="eastAsia" w:ascii="仿宋" w:hAnsi="仿宋" w:eastAsia="仿宋"/>
          <w:color w:val="000000"/>
          <w:sz w:val="28"/>
          <w:szCs w:val="28"/>
        </w:rPr>
        <w:t>日照市常乐家电有限责任公司债权，截至2019年</w:t>
      </w:r>
      <w:r>
        <w:rPr>
          <w:rFonts w:hint="eastAsia" w:ascii="仿宋" w:hAnsi="仿宋" w:eastAsia="仿宋"/>
          <w:color w:val="000000"/>
          <w:sz w:val="28"/>
          <w:szCs w:val="28"/>
          <w:lang w:val="en-US" w:eastAsia="zh-CN"/>
        </w:rPr>
        <w:t>10</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20</w:t>
      </w:r>
      <w:r>
        <w:rPr>
          <w:rFonts w:hint="eastAsia" w:ascii="仿宋" w:hAnsi="仿宋" w:eastAsia="仿宋"/>
          <w:color w:val="000000"/>
          <w:sz w:val="28"/>
          <w:szCs w:val="28"/>
        </w:rPr>
        <w:t>日</w:t>
      </w:r>
      <w:r>
        <w:rPr>
          <w:rFonts w:hint="eastAsia" w:ascii="仿宋" w:hAnsi="仿宋" w:eastAsia="仿宋"/>
          <w:color w:val="000000"/>
          <w:sz w:val="28"/>
          <w:szCs w:val="28"/>
          <w:lang w:eastAsia="zh-CN"/>
        </w:rPr>
        <w:t>，</w:t>
      </w:r>
      <w:r>
        <w:rPr>
          <w:rFonts w:hint="eastAsia" w:ascii="仿宋" w:hAnsi="仿宋" w:eastAsia="仿宋"/>
          <w:color w:val="000000"/>
          <w:sz w:val="28"/>
          <w:szCs w:val="28"/>
        </w:rPr>
        <w:t>债权金额合计4,616,356.82元，其中：本金3,983,803.20元、利息605,837.62元</w:t>
      </w:r>
      <w:r>
        <w:rPr>
          <w:rFonts w:hint="eastAsia" w:ascii="仿宋" w:hAnsi="仿宋" w:eastAsia="仿宋"/>
          <w:color w:val="000000"/>
          <w:sz w:val="28"/>
          <w:szCs w:val="28"/>
          <w:lang w:eastAsia="zh-CN"/>
        </w:rPr>
        <w:t>、</w:t>
      </w:r>
      <w:r>
        <w:rPr>
          <w:rFonts w:hint="eastAsia" w:ascii="仿宋" w:hAnsi="仿宋" w:eastAsia="仿宋"/>
          <w:color w:val="000000"/>
          <w:sz w:val="28"/>
          <w:szCs w:val="28"/>
        </w:rPr>
        <w:t>其他权利（垫付诉讼费用）26,716.00元（2019年</w:t>
      </w:r>
      <w:r>
        <w:rPr>
          <w:rFonts w:hint="eastAsia" w:ascii="仿宋" w:hAnsi="仿宋" w:eastAsia="仿宋"/>
          <w:color w:val="000000"/>
          <w:sz w:val="28"/>
          <w:szCs w:val="28"/>
          <w:lang w:val="en-US" w:eastAsia="zh-CN"/>
        </w:rPr>
        <w:t>10</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20</w:t>
      </w:r>
      <w:r>
        <w:rPr>
          <w:rFonts w:hint="eastAsia" w:ascii="仿宋" w:hAnsi="仿宋" w:eastAsia="仿宋"/>
          <w:color w:val="000000"/>
          <w:sz w:val="28"/>
          <w:szCs w:val="28"/>
        </w:rPr>
        <w:t>日之后产生的利息，以及与不良贷款债权相关的从权利亦在本次拍卖范围内）。</w:t>
      </w:r>
      <w:bookmarkEnd w:id="0"/>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 竞买人已被告知并完全理解，长城公司山东分公司转让给竞买人的贷款债权，存在或可能存在下列瑕疵或风险，且因长城公司山东分公司并非贷款债权的原始权利人，长城公司山东分公司无法对其承继的、由任何第三方制作的贷款债权证明文件的真实性、有效性、准确性和完整性提供保证，以至于竞买人受让贷款债权的预期利益可能无法实现。该等瑕疵或风险包括但不限于下列一项或多项：</w:t>
      </w:r>
    </w:p>
    <w:p>
      <w:pPr>
        <w:snapToGrid/>
        <w:spacing w:line="46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snapToGrid/>
        <w:spacing w:line="46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napToGrid/>
        <w:spacing w:line="46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snapToGrid/>
        <w:spacing w:line="46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snapToGrid/>
        <w:spacing w:line="46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snapToGrid/>
        <w:spacing w:line="46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snapToGrid/>
        <w:spacing w:line="46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snapToGrid/>
        <w:spacing w:line="460" w:lineRule="exact"/>
        <w:ind w:right="0" w:righ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snapToGrid/>
        <w:spacing w:line="460" w:lineRule="exact"/>
        <w:ind w:right="0" w:firstLine="560" w:firstLineChars="200"/>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snapToGrid/>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snapToGrid/>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1.11 债权可能存在执行终结的可能性；</w:t>
      </w:r>
    </w:p>
    <w:p>
      <w:pPr>
        <w:snapToGrid/>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1.12 该户债权，原债权银行已于2018年11月01日就主债权、保证债权向日照市东港区法院起诉，并经（2018）鲁1101民初8980号民事判决书判决确认主从债权合法有效，尚未申请执行，未超执行时效。但原债权银行起诉时未要求确认抵押物优先受偿权; ，抵押物已被多轮查封。</w:t>
      </w:r>
    </w:p>
    <w:p>
      <w:pPr>
        <w:snapToGrid/>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1.13 债权项下的抵押物已对外出租，租期及租金无法落实。</w:t>
      </w: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  </w:t>
      </w:r>
    </w:p>
    <w:p>
      <w:pPr>
        <w:spacing w:line="46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color w:val="000000"/>
          <w:sz w:val="28"/>
          <w:szCs w:val="28"/>
          <w:lang w:eastAsia="zh-CN"/>
        </w:rPr>
        <w:t>拍卖人、</w:t>
      </w:r>
      <w:r>
        <w:rPr>
          <w:rFonts w:hint="eastAsia" w:ascii="仿宋" w:hAnsi="仿宋" w:eastAsia="仿宋"/>
          <w:color w:val="000000"/>
          <w:sz w:val="28"/>
          <w:szCs w:val="28"/>
        </w:rPr>
        <w:t>长城公司山东分公司及前手权利人不承担任何责任。</w:t>
      </w:r>
    </w:p>
    <w:p>
      <w:pPr>
        <w:spacing w:line="460" w:lineRule="exact"/>
        <w:ind w:firstLine="560" w:firstLineChars="200"/>
        <w:rPr>
          <w:rFonts w:hint="eastAsia" w:ascii="仿宋" w:hAnsi="仿宋" w:eastAsia="仿宋"/>
          <w:color w:val="000000"/>
          <w:sz w:val="28"/>
          <w:szCs w:val="28"/>
        </w:rPr>
      </w:pPr>
    </w:p>
    <w:p>
      <w:pPr>
        <w:spacing w:line="460" w:lineRule="exact"/>
        <w:ind w:firstLine="560" w:firstLineChars="200"/>
        <w:jc w:val="right"/>
        <w:rPr>
          <w:rFonts w:hint="eastAsia" w:ascii="仿宋" w:hAnsi="仿宋" w:eastAsia="仿宋"/>
          <w:color w:val="000000"/>
          <w:sz w:val="28"/>
          <w:szCs w:val="28"/>
        </w:rPr>
      </w:pPr>
      <w:r>
        <w:rPr>
          <w:rFonts w:hint="eastAsia" w:ascii="仿宋" w:hAnsi="仿宋" w:eastAsia="仿宋"/>
          <w:color w:val="000000"/>
          <w:sz w:val="28"/>
          <w:szCs w:val="28"/>
        </w:rPr>
        <w:t>光彩银星拍卖有限公司</w:t>
      </w:r>
    </w:p>
    <w:p>
      <w:pPr>
        <w:spacing w:line="460" w:lineRule="exact"/>
        <w:ind w:firstLine="560" w:firstLineChars="200"/>
        <w:jc w:val="right"/>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hint="eastAsia" w:ascii="仿宋" w:hAnsi="仿宋" w:eastAsia="仿宋" w:cs="Times New Roman"/>
          <w:color w:val="000000"/>
          <w:sz w:val="28"/>
          <w:szCs w:val="28"/>
        </w:rPr>
        <w:t>二O一</w:t>
      </w:r>
      <w:r>
        <w:rPr>
          <w:rFonts w:hint="eastAsia" w:ascii="仿宋" w:hAnsi="仿宋" w:eastAsia="仿宋" w:cs="Times New Roman"/>
          <w:color w:val="000000"/>
          <w:sz w:val="28"/>
          <w:szCs w:val="28"/>
          <w:lang w:eastAsia="zh-CN"/>
        </w:rPr>
        <w:t>九</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lang w:val="en-US" w:eastAsia="zh-CN"/>
        </w:rPr>
        <w:t>十一</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lang w:eastAsia="zh-CN"/>
        </w:rPr>
        <w:t>二十九</w:t>
      </w:r>
      <w:r>
        <w:rPr>
          <w:rFonts w:hint="eastAsia" w:ascii="仿宋" w:hAnsi="仿宋" w:eastAsia="仿宋" w:cs="Times New Roman"/>
          <w:color w:val="000000"/>
          <w:sz w:val="28"/>
          <w:szCs w:val="28"/>
        </w:rPr>
        <w:t>日</w:t>
      </w:r>
    </w:p>
    <w:p>
      <w:pPr>
        <w:spacing w:line="480" w:lineRule="exact"/>
        <w:rPr>
          <w:rFonts w:hint="eastAsia" w:ascii="仿宋" w:hAnsi="仿宋" w:eastAsia="仿宋"/>
          <w:color w:val="000000"/>
          <w:sz w:val="28"/>
          <w:szCs w:val="28"/>
          <w:u w:val="single"/>
        </w:rPr>
      </w:pPr>
    </w:p>
    <w:p>
      <w:pPr>
        <w:spacing w:line="240" w:lineRule="auto"/>
        <w:rPr>
          <w:rFonts w:hint="eastAsia" w:ascii="仿宋" w:hAnsi="仿宋" w:eastAsia="仿宋"/>
          <w:color w:val="000000"/>
          <w:sz w:val="28"/>
          <w:szCs w:val="28"/>
          <w:u w:val="single"/>
        </w:rPr>
      </w:pPr>
      <w:r>
        <w:rPr>
          <w:rFonts w:ascii="仿宋" w:hAnsi="仿宋" w:eastAsia="仿宋"/>
          <w:color w:val="000000"/>
          <w:sz w:val="28"/>
          <w:szCs w:val="28"/>
          <w:u w:val="single"/>
        </w:rPr>
        <w:br w:type="page"/>
      </w:r>
      <w:r>
        <w:rPr>
          <w:rFonts w:hint="eastAsia" w:ascii="仿宋" w:hAnsi="仿宋" w:eastAsia="仿宋"/>
          <w:color w:val="000000"/>
          <w:sz w:val="28"/>
          <w:szCs w:val="28"/>
        </w:rPr>
        <w:t>光彩银星拍卖有限公司</w:t>
      </w:r>
      <w:r>
        <w:rPr>
          <w:rFonts w:hint="eastAsia" w:ascii="仿宋" w:hAnsi="仿宋" w:eastAsia="仿宋"/>
          <w:color w:val="000000"/>
          <w:sz w:val="28"/>
          <w:szCs w:val="28"/>
          <w:u w:val="none"/>
        </w:rPr>
        <w:t>：</w:t>
      </w:r>
    </w:p>
    <w:p>
      <w:pPr>
        <w:tabs>
          <w:tab w:val="left" w:pos="1710"/>
        </w:tabs>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48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480" w:lineRule="exact"/>
        <w:ind w:firstLine="700" w:firstLineChars="250"/>
        <w:rPr>
          <w:rFonts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480" w:lineRule="exact"/>
        <w:ind w:firstLine="560" w:firstLineChars="200"/>
        <w:rPr>
          <w:rFonts w:hint="eastAsia" w:ascii="仿宋" w:hAnsi="仿宋" w:eastAsia="仿宋"/>
          <w:color w:val="000000"/>
          <w:sz w:val="28"/>
          <w:szCs w:val="28"/>
        </w:rPr>
      </w:pPr>
    </w:p>
    <w:p>
      <w:pPr>
        <w:spacing w:line="480" w:lineRule="exact"/>
        <w:ind w:firstLine="4298" w:firstLineChars="1535"/>
        <w:rPr>
          <w:rFonts w:hint="eastAsia" w:ascii="仿宋" w:hAnsi="仿宋" w:eastAsia="仿宋"/>
          <w:color w:val="000000"/>
          <w:sz w:val="28"/>
          <w:szCs w:val="28"/>
        </w:rPr>
      </w:pPr>
    </w:p>
    <w:p>
      <w:pPr>
        <w:snapToGrid w:val="0"/>
        <w:spacing w:line="480" w:lineRule="exact"/>
        <w:ind w:firstLine="1820" w:firstLineChars="650"/>
        <w:rPr>
          <w:rFonts w:hint="eastAsia" w:ascii="仿宋" w:hAnsi="仿宋" w:eastAsia="仿宋"/>
          <w:color w:val="000000"/>
          <w:sz w:val="28"/>
          <w:szCs w:val="28"/>
        </w:rPr>
      </w:pPr>
      <w:r>
        <w:rPr>
          <w:rFonts w:hint="eastAsia" w:ascii="仿宋" w:hAnsi="仿宋" w:eastAsia="仿宋"/>
          <w:color w:val="000000"/>
          <w:sz w:val="28"/>
          <w:szCs w:val="28"/>
        </w:rPr>
        <w:t>意向竞买人（盖章）：</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法定代表人：</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napToGrid w:val="0"/>
        <w:spacing w:line="480" w:lineRule="exact"/>
        <w:ind w:left="-2" w:leftChars="-1" w:firstLine="1803" w:firstLineChars="644"/>
        <w:rPr>
          <w:rFonts w:hint="eastAsia" w:ascii="仿宋" w:hAnsi="仿宋" w:eastAsia="仿宋"/>
          <w:color w:val="000000"/>
          <w:sz w:val="28"/>
          <w:szCs w:val="28"/>
        </w:rPr>
      </w:pPr>
    </w:p>
    <w:p>
      <w:pPr>
        <w:snapToGrid w:val="0"/>
        <w:spacing w:line="480" w:lineRule="exact"/>
        <w:ind w:left="-2" w:leftChars="-1" w:firstLine="1803" w:firstLineChars="644"/>
        <w:rPr>
          <w:rFonts w:hint="eastAsia" w:ascii="仿宋" w:hAnsi="仿宋" w:eastAsia="仿宋"/>
          <w:color w:val="000000"/>
          <w:sz w:val="28"/>
          <w:szCs w:val="28"/>
        </w:rPr>
      </w:pPr>
    </w:p>
    <w:p>
      <w:pPr>
        <w:spacing w:line="460" w:lineRule="exact"/>
        <w:ind w:firstLine="560" w:firstLineChars="200"/>
        <w:jc w:val="right"/>
        <w:rPr>
          <w:rFonts w:hint="eastAsia" w:ascii="仿宋" w:hAnsi="仿宋" w:eastAsia="仿宋"/>
          <w:color w:val="000000"/>
          <w:sz w:val="28"/>
          <w:szCs w:val="28"/>
        </w:rPr>
      </w:pPr>
      <w:r>
        <w:rPr>
          <w:rFonts w:hint="eastAsia" w:ascii="仿宋" w:hAnsi="仿宋" w:eastAsia="仿宋" w:cs="Times New Roman"/>
          <w:color w:val="000000"/>
          <w:sz w:val="28"/>
          <w:szCs w:val="28"/>
        </w:rPr>
        <w:t>二O一</w:t>
      </w:r>
      <w:r>
        <w:rPr>
          <w:rFonts w:hint="eastAsia" w:ascii="仿宋" w:hAnsi="仿宋" w:eastAsia="仿宋" w:cs="Times New Roman"/>
          <w:color w:val="000000"/>
          <w:sz w:val="28"/>
          <w:szCs w:val="28"/>
          <w:lang w:eastAsia="zh-CN"/>
        </w:rPr>
        <w:t>九</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lang w:val="en-US" w:eastAsia="zh-CN"/>
        </w:rPr>
        <w:t>十一</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lang w:eastAsia="zh-CN"/>
        </w:rPr>
        <w:t>二十九</w:t>
      </w:r>
      <w:r>
        <w:rPr>
          <w:rFonts w:hint="eastAsia" w:ascii="仿宋" w:hAnsi="仿宋" w:eastAsia="仿宋" w:cs="Times New Roman"/>
          <w:color w:val="000000"/>
          <w:sz w:val="28"/>
          <w:szCs w:val="28"/>
        </w:rPr>
        <w:t>日</w:t>
      </w:r>
    </w:p>
    <w:p>
      <w:pPr>
        <w:spacing w:line="480" w:lineRule="exact"/>
        <w:ind w:firstLine="0" w:firstLineChars="0"/>
        <w:jc w:val="right"/>
        <w:rPr>
          <w:rFonts w:hint="eastAsia" w:ascii="仿宋" w:hAnsi="仿宋" w:eastAsia="仿宋"/>
          <w:color w:val="000000"/>
          <w:sz w:val="28"/>
          <w:szCs w:val="28"/>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rPr>
    </w:pPr>
    <w:r>
      <w:rPr>
        <w:rFonts w:hint="eastAsia"/>
      </w:rPr>
      <w:t xml:space="preserve">                                           </w:t>
    </w:r>
    <w:r>
      <w:fldChar w:fldCharType="begin"/>
    </w:r>
    <w:r>
      <w:rPr>
        <w:rStyle w:val="12"/>
      </w:rPr>
      <w:instrText xml:space="preserve"> PAGE </w:instrText>
    </w:r>
    <w:r>
      <w:fldChar w:fldCharType="separate"/>
    </w:r>
    <w:r>
      <w:rPr>
        <w:rStyle w:val="12"/>
      </w:rPr>
      <w:t>4</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val="1"/>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0B22"/>
    <w:rsid w:val="000107E6"/>
    <w:rsid w:val="0005093E"/>
    <w:rsid w:val="00087F4D"/>
    <w:rsid w:val="000C1FB2"/>
    <w:rsid w:val="00156C84"/>
    <w:rsid w:val="001A10D8"/>
    <w:rsid w:val="00380600"/>
    <w:rsid w:val="00407E1B"/>
    <w:rsid w:val="00411964"/>
    <w:rsid w:val="00493FA1"/>
    <w:rsid w:val="004A7B13"/>
    <w:rsid w:val="00503251"/>
    <w:rsid w:val="00531492"/>
    <w:rsid w:val="005379A1"/>
    <w:rsid w:val="0059204E"/>
    <w:rsid w:val="005D45D0"/>
    <w:rsid w:val="00677725"/>
    <w:rsid w:val="00696159"/>
    <w:rsid w:val="006B3DF6"/>
    <w:rsid w:val="007745EF"/>
    <w:rsid w:val="00776E28"/>
    <w:rsid w:val="00972FCC"/>
    <w:rsid w:val="009E6445"/>
    <w:rsid w:val="00A1557D"/>
    <w:rsid w:val="00A15E89"/>
    <w:rsid w:val="00A602BA"/>
    <w:rsid w:val="00AB16F9"/>
    <w:rsid w:val="00AF5D9E"/>
    <w:rsid w:val="00BB656E"/>
    <w:rsid w:val="00BD078F"/>
    <w:rsid w:val="00C1405E"/>
    <w:rsid w:val="00C169DB"/>
    <w:rsid w:val="00D06D12"/>
    <w:rsid w:val="00D80BE3"/>
    <w:rsid w:val="00DB4569"/>
    <w:rsid w:val="00DF597A"/>
    <w:rsid w:val="00E07736"/>
    <w:rsid w:val="00E3263C"/>
    <w:rsid w:val="00E614E2"/>
    <w:rsid w:val="00EE4177"/>
    <w:rsid w:val="00F91415"/>
    <w:rsid w:val="00F970C3"/>
    <w:rsid w:val="00FB0511"/>
    <w:rsid w:val="00FE2755"/>
    <w:rsid w:val="11A74E57"/>
    <w:rsid w:val="151E573F"/>
    <w:rsid w:val="26767A40"/>
    <w:rsid w:val="3723716F"/>
    <w:rsid w:val="3DA66418"/>
    <w:rsid w:val="411421CE"/>
    <w:rsid w:val="465D2D4B"/>
    <w:rsid w:val="48853BDF"/>
    <w:rsid w:val="4F390BF3"/>
    <w:rsid w:val="5B0828CC"/>
    <w:rsid w:val="72351628"/>
    <w:rsid w:val="74F3142E"/>
    <w:rsid w:val="7BCC739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link w:val="11"/>
    <w:uiPriority w:val="0"/>
  </w:style>
  <w:style w:type="table" w:default="1" w:styleId="9">
    <w:name w:val="Normal Table"/>
    <w:unhideWhenUsed/>
    <w:uiPriority w:val="99"/>
    <w:tblPr>
      <w:tblCellMar>
        <w:top w:w="0" w:type="dxa"/>
        <w:left w:w="108" w:type="dxa"/>
        <w:bottom w:w="0" w:type="dxa"/>
        <w:right w:w="108" w:type="dxa"/>
      </w:tblCellMar>
    </w:tblPr>
  </w:style>
  <w:style w:type="paragraph" w:styleId="2">
    <w:name w:val="Body Text"/>
    <w:basedOn w:val="1"/>
    <w:qFormat/>
    <w:uiPriority w:val="0"/>
    <w:rPr>
      <w:rFonts w:eastAsia="仿宋_GB2312"/>
      <w:sz w:val="32"/>
    </w:rPr>
  </w:style>
  <w:style w:type="paragraph" w:styleId="3">
    <w:name w:val="Body Text Indent"/>
    <w:basedOn w:val="1"/>
    <w:qFormat/>
    <w:uiPriority w:val="0"/>
    <w:pPr>
      <w:spacing w:after="120" w:afterLines="0"/>
      <w:ind w:left="420" w:leftChars="200"/>
    </w:pPr>
  </w:style>
  <w:style w:type="paragraph" w:styleId="4">
    <w:name w:val="Date"/>
    <w:basedOn w:val="1"/>
    <w:next w:val="1"/>
    <w:link w:val="16"/>
    <w:qFormat/>
    <w:uiPriority w:val="0"/>
    <w:pPr>
      <w:ind w:left="100" w:leftChars="2500"/>
    </w:pPr>
    <w:rPr>
      <w:kern w:val="2"/>
      <w:sz w:val="21"/>
      <w:szCs w:val="24"/>
    </w:rPr>
  </w:style>
  <w:style w:type="paragraph" w:styleId="5">
    <w:name w:val="Body Text Indent 2"/>
    <w:basedOn w:val="1"/>
    <w:qFormat/>
    <w:uiPriority w:val="0"/>
    <w:pPr>
      <w:ind w:firstLine="642" w:firstLineChars="200"/>
    </w:pPr>
    <w:rPr>
      <w:rFonts w:eastAsia="仿宋_GB2312"/>
      <w:sz w:val="32"/>
    </w:r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kern w:val="2"/>
      <w:sz w:val="18"/>
      <w:szCs w:val="18"/>
    </w:rPr>
  </w:style>
  <w:style w:type="paragraph" w:customStyle="1" w:styleId="11">
    <w:name w:val="_Style 7"/>
    <w:basedOn w:val="1"/>
    <w:link w:val="10"/>
    <w:qFormat/>
    <w:uiPriority w:val="0"/>
  </w:style>
  <w:style w:type="character" w:styleId="12">
    <w:name w:val="page number"/>
    <w:basedOn w:val="10"/>
    <w:qFormat/>
    <w:uiPriority w:val="0"/>
  </w:style>
  <w:style w:type="paragraph" w:customStyle="1" w:styleId="13">
    <w:name w:val="Char"/>
    <w:basedOn w:val="1"/>
    <w:qFormat/>
    <w:uiPriority w:val="0"/>
  </w:style>
  <w:style w:type="paragraph" w:customStyle="1" w:styleId="14">
    <w:name w:val="默认段落字体 Para Char Char Char Char Char Char Char"/>
    <w:basedOn w:val="1"/>
    <w:qFormat/>
    <w:uiPriority w:val="0"/>
  </w:style>
  <w:style w:type="paragraph" w:customStyle="1" w:styleId="15">
    <w:name w:val=" Char"/>
    <w:basedOn w:val="1"/>
    <w:qFormat/>
    <w:uiPriority w:val="0"/>
  </w:style>
  <w:style w:type="character" w:customStyle="1" w:styleId="16">
    <w:name w:val="日期 Char"/>
    <w:link w:val="4"/>
    <w:qFormat/>
    <w:uiPriority w:val="0"/>
    <w:rPr>
      <w:kern w:val="2"/>
      <w:sz w:val="21"/>
      <w:szCs w:val="24"/>
    </w:rPr>
  </w:style>
  <w:style w:type="character" w:customStyle="1" w:styleId="17">
    <w:name w:val="页眉 Char Char"/>
    <w:link w:val="8"/>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GWAMCC</Company>
  <Pages>4</Pages>
  <Words>346</Words>
  <Characters>1978</Characters>
  <Lines>16</Lines>
  <Paragraphs>4</Paragraphs>
  <TotalTime>0</TotalTime>
  <ScaleCrop>false</ScaleCrop>
  <LinksUpToDate>false</LinksUpToDate>
  <CharactersWithSpaces>2320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2009-08-21T00:09:00Z</dcterms:created>
  <dc:creator>陈炜(总公司)</dc:creator>
  <cp:lastModifiedBy>洪力网张海峰18678653936</cp:lastModifiedBy>
  <cp:lastPrinted>2013-11-29T06:53:00Z</cp:lastPrinted>
  <dcterms:modified xsi:type="dcterms:W3CDTF">2019-11-28T11:48:57Z</dcterms:modified>
  <dc:title>附件1：</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