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60" w:lineRule="exact"/>
        <w:ind w:firstLine="3213" w:firstLineChars="1000"/>
        <w:jc w:val="both"/>
        <w:rPr>
          <w:rFonts w:hint="eastAsia" w:ascii="仿宋" w:hAnsi="仿宋" w:eastAsia="仿宋"/>
          <w:b/>
          <w:bCs/>
          <w:color w:val="000000"/>
          <w:sz w:val="32"/>
          <w:szCs w:val="32"/>
          <w:lang w:eastAsia="zh-CN"/>
        </w:rPr>
      </w:pPr>
      <w:r>
        <w:rPr>
          <w:rFonts w:hint="eastAsia" w:ascii="仿宋" w:hAnsi="仿宋" w:eastAsia="仿宋"/>
          <w:b/>
          <w:bCs/>
          <w:color w:val="000000"/>
          <w:sz w:val="32"/>
          <w:szCs w:val="32"/>
          <w:lang w:eastAsia="zh-CN"/>
        </w:rPr>
        <w:t>竞</w:t>
      </w:r>
      <w:r>
        <w:rPr>
          <w:rFonts w:hint="eastAsia" w:ascii="仿宋" w:hAnsi="仿宋" w:eastAsia="仿宋"/>
          <w:b/>
          <w:bCs/>
          <w:color w:val="000000"/>
          <w:sz w:val="32"/>
          <w:szCs w:val="32"/>
          <w:lang w:val="en-US" w:eastAsia="zh-CN"/>
        </w:rPr>
        <w:t xml:space="preserve"> </w:t>
      </w:r>
      <w:r>
        <w:rPr>
          <w:rFonts w:hint="eastAsia" w:ascii="仿宋" w:hAnsi="仿宋" w:eastAsia="仿宋"/>
          <w:b/>
          <w:bCs/>
          <w:color w:val="000000"/>
          <w:sz w:val="32"/>
          <w:szCs w:val="32"/>
          <w:lang w:eastAsia="zh-CN"/>
        </w:rPr>
        <w:t>买</w:t>
      </w:r>
      <w:r>
        <w:rPr>
          <w:rFonts w:hint="eastAsia" w:ascii="仿宋" w:hAnsi="仿宋" w:eastAsia="仿宋"/>
          <w:b/>
          <w:bCs/>
          <w:color w:val="000000"/>
          <w:sz w:val="32"/>
          <w:szCs w:val="32"/>
          <w:lang w:val="en-US" w:eastAsia="zh-CN"/>
        </w:rPr>
        <w:t xml:space="preserve"> </w:t>
      </w:r>
      <w:r>
        <w:rPr>
          <w:rFonts w:hint="eastAsia" w:ascii="仿宋" w:hAnsi="仿宋" w:eastAsia="仿宋"/>
          <w:b/>
          <w:bCs/>
          <w:color w:val="000000"/>
          <w:sz w:val="32"/>
          <w:szCs w:val="32"/>
          <w:lang w:eastAsia="zh-CN"/>
        </w:rPr>
        <w:t>须</w:t>
      </w:r>
      <w:r>
        <w:rPr>
          <w:rFonts w:hint="eastAsia" w:ascii="仿宋" w:hAnsi="仿宋" w:eastAsia="仿宋"/>
          <w:b/>
          <w:bCs/>
          <w:color w:val="000000"/>
          <w:sz w:val="32"/>
          <w:szCs w:val="32"/>
          <w:lang w:val="en-US" w:eastAsia="zh-CN"/>
        </w:rPr>
        <w:t xml:space="preserve"> </w:t>
      </w:r>
      <w:r>
        <w:rPr>
          <w:rFonts w:hint="eastAsia" w:ascii="仿宋" w:hAnsi="仿宋" w:eastAsia="仿宋"/>
          <w:b/>
          <w:bCs/>
          <w:color w:val="000000"/>
          <w:sz w:val="32"/>
          <w:szCs w:val="32"/>
          <w:lang w:eastAsia="zh-CN"/>
        </w:rPr>
        <w:t>知</w:t>
      </w:r>
    </w:p>
    <w:p>
      <w:pPr>
        <w:keepNext w:val="0"/>
        <w:keepLines w:val="0"/>
        <w:pageBreakBefore w:val="0"/>
        <w:widowControl w:val="0"/>
        <w:kinsoku/>
        <w:wordWrap/>
        <w:overflowPunct/>
        <w:topLinePunct w:val="0"/>
        <w:autoSpaceDE/>
        <w:autoSpaceDN/>
        <w:bidi w:val="0"/>
        <w:adjustRightInd/>
        <w:spacing w:line="440" w:lineRule="exact"/>
        <w:ind w:firstLine="560" w:firstLineChars="200"/>
        <w:textAlignment w:val="auto"/>
        <w:rPr>
          <w:rFonts w:hint="eastAsia" w:ascii="仿宋" w:hAnsi="仿宋" w:eastAsia="仿宋"/>
          <w:color w:val="000000"/>
          <w:sz w:val="28"/>
          <w:szCs w:val="28"/>
        </w:rPr>
      </w:pPr>
      <w:r>
        <w:rPr>
          <w:rFonts w:hint="eastAsia" w:ascii="仿宋" w:hAnsi="仿宋" w:eastAsia="仿宋"/>
          <w:color w:val="000000"/>
          <w:sz w:val="28"/>
          <w:szCs w:val="28"/>
        </w:rPr>
        <w:t>本公司遵循“公开、公平、公正、诚实信用”的原则，依法对委托标的物进行公开拍卖，为规范拍卖行为，维护拍卖秩序，保障拍卖活动中各方当事人的合法权益，依据《中华人民共和国拍卖法》特制定本须知：</w:t>
      </w:r>
    </w:p>
    <w:p>
      <w:pPr>
        <w:keepNext w:val="0"/>
        <w:keepLines w:val="0"/>
        <w:pageBreakBefore w:val="0"/>
        <w:widowControl w:val="0"/>
        <w:kinsoku/>
        <w:wordWrap/>
        <w:overflowPunct/>
        <w:topLinePunct w:val="0"/>
        <w:autoSpaceDE/>
        <w:autoSpaceDN/>
        <w:bidi w:val="0"/>
        <w:adjustRightInd/>
        <w:snapToGrid/>
        <w:spacing w:line="440" w:lineRule="exact"/>
        <w:ind w:firstLine="840" w:firstLineChars="300"/>
        <w:textAlignment w:val="auto"/>
        <w:rPr>
          <w:rFonts w:hint="eastAsia" w:ascii="宋体" w:hAnsi="宋体" w:eastAsia="宋体" w:cs="宋体"/>
          <w:b w:val="0"/>
          <w:bCs w:val="0"/>
          <w:sz w:val="24"/>
          <w:szCs w:val="24"/>
          <w:u w:val="single"/>
          <w:lang w:val="en-US" w:eastAsia="zh-CN"/>
        </w:rPr>
      </w:pPr>
      <w:r>
        <w:rPr>
          <w:rFonts w:hint="eastAsia" w:ascii="仿宋" w:hAnsi="仿宋" w:eastAsia="仿宋"/>
          <w:color w:val="000000"/>
          <w:sz w:val="28"/>
          <w:szCs w:val="28"/>
          <w:lang w:eastAsia="zh-CN"/>
        </w:rPr>
        <w:t>拍卖标的：</w:t>
      </w:r>
      <w:r>
        <w:rPr>
          <w:rFonts w:hint="eastAsia" w:ascii="仿宋" w:hAnsi="仿宋" w:eastAsia="仿宋"/>
          <w:color w:val="000000"/>
          <w:sz w:val="28"/>
          <w:szCs w:val="28"/>
          <w:u w:val="single"/>
          <w:lang w:val="en-US" w:eastAsia="zh-CN"/>
        </w:rPr>
        <w:t>中国长城资产管理股份有限公司山东省分公司拥有的山东邹平久久鸭业有限公司、邹平县顺达包装彩印有限责任公司、邹平县永通金属材料有限公司等3户债权，整体拍卖，截至2019年11月20日，债权总额为56,976,751.6元，其中：本金总额为43,558,279.28元，利息总额为13,179,069.32元，其他费用总额为239,403元(2019年11月20日之后产生的利息亦在本次处置范围内)，现状拍卖。</w:t>
      </w:r>
    </w:p>
    <w:p>
      <w:pPr>
        <w:keepNext w:val="0"/>
        <w:keepLines w:val="0"/>
        <w:pageBreakBefore w:val="0"/>
        <w:widowControl w:val="0"/>
        <w:kinsoku/>
        <w:wordWrap/>
        <w:overflowPunct/>
        <w:topLinePunct w:val="0"/>
        <w:autoSpaceDE/>
        <w:autoSpaceDN/>
        <w:bidi w:val="0"/>
        <w:adjustRightInd/>
        <w:spacing w:line="440" w:lineRule="exact"/>
        <w:textAlignment w:val="auto"/>
        <w:rPr>
          <w:rFonts w:hint="eastAsia" w:ascii="仿宋" w:hAnsi="仿宋" w:eastAsia="仿宋"/>
          <w:color w:val="000000"/>
          <w:sz w:val="28"/>
          <w:szCs w:val="28"/>
        </w:rPr>
      </w:pPr>
      <w:r>
        <w:rPr>
          <w:rFonts w:hint="eastAsia" w:ascii="仿宋" w:hAnsi="仿宋" w:eastAsia="仿宋"/>
          <w:color w:val="000000"/>
          <w:sz w:val="28"/>
          <w:szCs w:val="28"/>
        </w:rPr>
        <w:t>对</w:t>
      </w:r>
      <w:r>
        <w:rPr>
          <w:rFonts w:hint="eastAsia" w:ascii="仿宋" w:hAnsi="仿宋" w:eastAsia="仿宋"/>
          <w:color w:val="000000"/>
          <w:sz w:val="28"/>
          <w:szCs w:val="28"/>
          <w:lang w:eastAsia="zh-CN"/>
        </w:rPr>
        <w:t>于上述拍卖标的</w:t>
      </w:r>
      <w:r>
        <w:rPr>
          <w:rFonts w:hint="eastAsia" w:ascii="仿宋" w:hAnsi="仿宋" w:eastAsia="仿宋"/>
          <w:color w:val="000000"/>
          <w:sz w:val="28"/>
          <w:szCs w:val="28"/>
        </w:rPr>
        <w:t>，我公司在此提示风险如下，请竞买人自行把握竞买风险：</w:t>
      </w:r>
    </w:p>
    <w:p>
      <w:pPr>
        <w:keepNext w:val="0"/>
        <w:keepLines w:val="0"/>
        <w:pageBreakBefore w:val="0"/>
        <w:widowControl w:val="0"/>
        <w:kinsoku/>
        <w:wordWrap/>
        <w:overflowPunct/>
        <w:topLinePunct w:val="0"/>
        <w:autoSpaceDE/>
        <w:autoSpaceDN/>
        <w:bidi w:val="0"/>
        <w:adjustRightInd/>
        <w:spacing w:line="440" w:lineRule="exact"/>
        <w:ind w:firstLine="560" w:firstLineChars="200"/>
        <w:textAlignment w:val="auto"/>
        <w:rPr>
          <w:rFonts w:hint="eastAsia" w:ascii="仿宋" w:hAnsi="仿宋" w:eastAsia="仿宋"/>
          <w:color w:val="000000"/>
          <w:sz w:val="28"/>
          <w:szCs w:val="28"/>
        </w:rPr>
      </w:pPr>
      <w:r>
        <w:rPr>
          <w:rFonts w:hint="eastAsia" w:ascii="仿宋" w:hAnsi="仿宋" w:eastAsia="仿宋"/>
          <w:color w:val="000000"/>
          <w:sz w:val="28"/>
          <w:szCs w:val="28"/>
        </w:rPr>
        <w:t>1.1贷款债权系不良资产，存在着部分或全部不能回收的风险特性以及清收的困难性；</w:t>
      </w:r>
    </w:p>
    <w:p>
      <w:pPr>
        <w:keepNext w:val="0"/>
        <w:keepLines w:val="0"/>
        <w:pageBreakBefore w:val="0"/>
        <w:widowControl w:val="0"/>
        <w:kinsoku/>
        <w:wordWrap/>
        <w:overflowPunct/>
        <w:topLinePunct w:val="0"/>
        <w:autoSpaceDE/>
        <w:autoSpaceDN/>
        <w:bidi w:val="0"/>
        <w:adjustRightInd/>
        <w:spacing w:line="440" w:lineRule="exact"/>
        <w:ind w:firstLine="560" w:firstLineChars="200"/>
        <w:textAlignment w:val="auto"/>
        <w:rPr>
          <w:rFonts w:hint="eastAsia" w:ascii="仿宋" w:hAnsi="仿宋" w:eastAsia="仿宋"/>
          <w:color w:val="000000"/>
          <w:sz w:val="28"/>
          <w:szCs w:val="28"/>
        </w:rPr>
      </w:pPr>
      <w:r>
        <w:rPr>
          <w:rFonts w:hint="eastAsia" w:ascii="仿宋" w:hAnsi="仿宋" w:eastAsia="仿宋"/>
          <w:color w:val="000000"/>
          <w:sz w:val="28"/>
          <w:szCs w:val="28"/>
        </w:rPr>
        <w:t>1.2 由于可能存在的计算误差或其他原因，受让人实际接收的贷款债权金额与《贷款债权明细表》载明的金额可能不完全一致；基于有关司法政策文件，买受人受让贷款债权后向债务人或担保人所能主张并获得司法支持的利息可能与《贷款债权明细表》中所列明的利息不完全一致；</w:t>
      </w:r>
    </w:p>
    <w:p>
      <w:pPr>
        <w:keepNext w:val="0"/>
        <w:keepLines w:val="0"/>
        <w:pageBreakBefore w:val="0"/>
        <w:widowControl w:val="0"/>
        <w:kinsoku/>
        <w:wordWrap/>
        <w:overflowPunct/>
        <w:topLinePunct w:val="0"/>
        <w:autoSpaceDE/>
        <w:autoSpaceDN/>
        <w:bidi w:val="0"/>
        <w:adjustRightInd/>
        <w:spacing w:line="440" w:lineRule="exact"/>
        <w:ind w:firstLine="560" w:firstLineChars="200"/>
        <w:textAlignment w:val="auto"/>
        <w:rPr>
          <w:rFonts w:hint="eastAsia" w:ascii="仿宋" w:hAnsi="仿宋" w:eastAsia="仿宋"/>
          <w:color w:val="000000"/>
          <w:sz w:val="28"/>
          <w:szCs w:val="28"/>
        </w:rPr>
      </w:pPr>
      <w:r>
        <w:rPr>
          <w:rFonts w:hint="eastAsia" w:ascii="仿宋" w:hAnsi="仿宋" w:eastAsia="仿宋"/>
          <w:color w:val="000000"/>
          <w:sz w:val="28"/>
          <w:szCs w:val="28"/>
        </w:rPr>
        <w:t>1.3 贷款债权项下借款人、担保人或其他责任主体可能存在破产、被吊销、被注销、被撤销、解散、关闭、歇业、停业、下落不明、无法查询到相关信息以及其他主体存续性瑕疵的情形；</w:t>
      </w:r>
    </w:p>
    <w:p>
      <w:pPr>
        <w:keepNext w:val="0"/>
        <w:keepLines w:val="0"/>
        <w:pageBreakBefore w:val="0"/>
        <w:widowControl w:val="0"/>
        <w:kinsoku/>
        <w:wordWrap/>
        <w:overflowPunct/>
        <w:topLinePunct w:val="0"/>
        <w:autoSpaceDE/>
        <w:autoSpaceDN/>
        <w:bidi w:val="0"/>
        <w:adjustRightInd/>
        <w:spacing w:line="440" w:lineRule="exact"/>
        <w:ind w:firstLine="560" w:firstLineChars="200"/>
        <w:textAlignment w:val="auto"/>
        <w:rPr>
          <w:rFonts w:hint="eastAsia" w:ascii="仿宋" w:hAnsi="仿宋" w:eastAsia="仿宋"/>
          <w:color w:val="000000"/>
          <w:sz w:val="28"/>
          <w:szCs w:val="28"/>
        </w:rPr>
      </w:pPr>
      <w:r>
        <w:rPr>
          <w:rFonts w:hint="eastAsia" w:ascii="仿宋" w:hAnsi="仿宋" w:eastAsia="仿宋"/>
          <w:color w:val="000000"/>
          <w:sz w:val="28"/>
          <w:szCs w:val="28"/>
        </w:rPr>
        <w:t>1.4 贷款债权可能已超过诉讼、执行时效、法定或约定时效或丧失其他相关的期间利益或因其他原因已部分或全部丧失；</w:t>
      </w:r>
    </w:p>
    <w:p>
      <w:pPr>
        <w:keepNext w:val="0"/>
        <w:keepLines w:val="0"/>
        <w:pageBreakBefore w:val="0"/>
        <w:widowControl w:val="0"/>
        <w:kinsoku/>
        <w:wordWrap/>
        <w:overflowPunct/>
        <w:topLinePunct w:val="0"/>
        <w:autoSpaceDE/>
        <w:autoSpaceDN/>
        <w:bidi w:val="0"/>
        <w:adjustRightInd/>
        <w:spacing w:line="440" w:lineRule="exact"/>
        <w:ind w:firstLine="560" w:firstLineChars="200"/>
        <w:textAlignment w:val="auto"/>
        <w:rPr>
          <w:rFonts w:hint="eastAsia" w:ascii="仿宋" w:hAnsi="仿宋" w:eastAsia="仿宋"/>
          <w:color w:val="000000"/>
          <w:sz w:val="28"/>
          <w:szCs w:val="28"/>
        </w:rPr>
      </w:pPr>
      <w:r>
        <w:rPr>
          <w:rFonts w:hint="eastAsia" w:ascii="仿宋" w:hAnsi="仿宋" w:eastAsia="仿宋"/>
          <w:color w:val="000000"/>
          <w:sz w:val="28"/>
          <w:szCs w:val="28"/>
        </w:rPr>
        <w:t>1.5 贷款债权项下担保权利可能未生效、无效、消灭或已过诉讼时效等情形；</w:t>
      </w:r>
    </w:p>
    <w:p>
      <w:pPr>
        <w:keepNext w:val="0"/>
        <w:keepLines w:val="0"/>
        <w:pageBreakBefore w:val="0"/>
        <w:widowControl w:val="0"/>
        <w:kinsoku/>
        <w:wordWrap/>
        <w:overflowPunct/>
        <w:topLinePunct w:val="0"/>
        <w:autoSpaceDE/>
        <w:autoSpaceDN/>
        <w:bidi w:val="0"/>
        <w:adjustRightInd/>
        <w:spacing w:line="440" w:lineRule="exact"/>
        <w:ind w:firstLine="560" w:firstLineChars="200"/>
        <w:textAlignment w:val="auto"/>
        <w:rPr>
          <w:rFonts w:hint="eastAsia" w:ascii="仿宋" w:hAnsi="仿宋" w:eastAsia="仿宋"/>
          <w:color w:val="000000"/>
          <w:sz w:val="28"/>
          <w:szCs w:val="28"/>
        </w:rPr>
      </w:pPr>
      <w:r>
        <w:rPr>
          <w:rFonts w:hint="eastAsia" w:ascii="仿宋" w:hAnsi="仿宋" w:eastAsia="仿宋"/>
          <w:color w:val="000000"/>
          <w:sz w:val="28"/>
          <w:szCs w:val="28"/>
        </w:rPr>
        <w:t>1.6 贷款债权权属文件可能存在缺失（不限于原件）、内容冲突、不真实等相关情形；</w:t>
      </w:r>
    </w:p>
    <w:p>
      <w:pPr>
        <w:keepNext w:val="0"/>
        <w:keepLines w:val="0"/>
        <w:pageBreakBefore w:val="0"/>
        <w:widowControl w:val="0"/>
        <w:kinsoku/>
        <w:wordWrap/>
        <w:overflowPunct/>
        <w:topLinePunct w:val="0"/>
        <w:autoSpaceDE/>
        <w:autoSpaceDN/>
        <w:bidi w:val="0"/>
        <w:adjustRightInd/>
        <w:spacing w:line="440" w:lineRule="exact"/>
        <w:ind w:firstLine="560" w:firstLineChars="200"/>
        <w:textAlignment w:val="auto"/>
        <w:rPr>
          <w:rFonts w:hint="eastAsia" w:ascii="仿宋" w:hAnsi="仿宋" w:eastAsia="仿宋"/>
          <w:color w:val="000000"/>
          <w:sz w:val="28"/>
          <w:szCs w:val="28"/>
        </w:rPr>
      </w:pPr>
      <w:r>
        <w:rPr>
          <w:rFonts w:hint="eastAsia" w:ascii="仿宋" w:hAnsi="仿宋" w:eastAsia="仿宋"/>
          <w:color w:val="000000"/>
          <w:sz w:val="28"/>
          <w:szCs w:val="28"/>
        </w:rPr>
        <w:t>1.7涉诉贷款债权可能存在全部或部分败诉、不能变更诉讼（含执行）主体、相关诉讼、执行费用未付等情形，涉诉贷款债权可能在交割前已诉讼终结、执行终结或破产终结；</w:t>
      </w:r>
    </w:p>
    <w:p>
      <w:pPr>
        <w:keepNext w:val="0"/>
        <w:keepLines w:val="0"/>
        <w:pageBreakBefore w:val="0"/>
        <w:widowControl w:val="0"/>
        <w:kinsoku/>
        <w:wordWrap/>
        <w:overflowPunct/>
        <w:topLinePunct w:val="0"/>
        <w:autoSpaceDE/>
        <w:autoSpaceDN/>
        <w:bidi w:val="0"/>
        <w:adjustRightInd/>
        <w:spacing w:line="440" w:lineRule="exact"/>
        <w:ind w:firstLine="560" w:firstLineChars="200"/>
        <w:textAlignment w:val="auto"/>
        <w:rPr>
          <w:rFonts w:hint="eastAsia" w:ascii="仿宋" w:hAnsi="仿宋" w:eastAsia="仿宋"/>
          <w:color w:val="000000"/>
          <w:sz w:val="28"/>
          <w:szCs w:val="28"/>
        </w:rPr>
      </w:pPr>
      <w:r>
        <w:rPr>
          <w:rFonts w:hint="eastAsia" w:ascii="仿宋" w:hAnsi="仿宋" w:eastAsia="仿宋"/>
          <w:color w:val="000000"/>
          <w:sz w:val="28"/>
          <w:szCs w:val="28"/>
        </w:rPr>
        <w:t>1.8 贷款债权事实上可能已经全部灭失或部分灭失，存在无法向原主从债务人进行追偿的可能性；</w:t>
      </w:r>
    </w:p>
    <w:p>
      <w:pPr>
        <w:keepNext w:val="0"/>
        <w:keepLines w:val="0"/>
        <w:pageBreakBefore w:val="0"/>
        <w:widowControl w:val="0"/>
        <w:kinsoku/>
        <w:wordWrap/>
        <w:overflowPunct/>
        <w:topLinePunct w:val="0"/>
        <w:autoSpaceDE/>
        <w:autoSpaceDN/>
        <w:bidi w:val="0"/>
        <w:adjustRightInd/>
        <w:spacing w:line="440" w:lineRule="exact"/>
        <w:ind w:firstLine="560" w:firstLineChars="200"/>
        <w:textAlignment w:val="auto"/>
        <w:rPr>
          <w:rFonts w:hint="eastAsia" w:ascii="仿宋" w:hAnsi="仿宋" w:eastAsia="仿宋"/>
          <w:color w:val="000000"/>
          <w:sz w:val="28"/>
          <w:szCs w:val="28"/>
        </w:rPr>
      </w:pPr>
      <w:r>
        <w:rPr>
          <w:rFonts w:hint="eastAsia" w:ascii="仿宋" w:hAnsi="仿宋" w:eastAsia="仿宋"/>
          <w:color w:val="000000"/>
          <w:sz w:val="28"/>
          <w:szCs w:val="28"/>
        </w:rPr>
        <w:t>1.9买受人受让贷款债权后，对该贷款债权在交割日后的利息或罚息请求权，买受人可能无法继续享有；</w:t>
      </w:r>
    </w:p>
    <w:p>
      <w:pPr>
        <w:keepNext w:val="0"/>
        <w:keepLines w:val="0"/>
        <w:pageBreakBefore w:val="0"/>
        <w:widowControl w:val="0"/>
        <w:kinsoku/>
        <w:wordWrap/>
        <w:overflowPunct/>
        <w:topLinePunct w:val="0"/>
        <w:autoSpaceDE/>
        <w:autoSpaceDN/>
        <w:bidi w:val="0"/>
        <w:adjustRightInd/>
        <w:spacing w:line="440" w:lineRule="exact"/>
        <w:ind w:firstLine="560" w:firstLineChars="200"/>
        <w:textAlignment w:val="auto"/>
        <w:rPr>
          <w:rFonts w:hint="eastAsia" w:ascii="仿宋" w:hAnsi="仿宋" w:eastAsia="仿宋"/>
          <w:color w:val="000000"/>
          <w:sz w:val="28"/>
          <w:szCs w:val="28"/>
        </w:rPr>
      </w:pPr>
      <w:r>
        <w:rPr>
          <w:rFonts w:hint="eastAsia" w:ascii="仿宋" w:hAnsi="仿宋" w:eastAsia="仿宋"/>
          <w:color w:val="000000"/>
          <w:sz w:val="28"/>
          <w:szCs w:val="28"/>
        </w:rPr>
        <w:t>1.10买受人受让贷款债权后，可能无法享有委托人所享有的国家法律政策规定的各项优惠条件和特殊保护，包括但不限于税收和诉讼方面的优惠和特殊保护；</w:t>
      </w:r>
    </w:p>
    <w:p>
      <w:pPr>
        <w:keepNext w:val="0"/>
        <w:keepLines w:val="0"/>
        <w:pageBreakBefore w:val="0"/>
        <w:widowControl w:val="0"/>
        <w:kinsoku/>
        <w:wordWrap/>
        <w:overflowPunct/>
        <w:topLinePunct w:val="0"/>
        <w:autoSpaceDE/>
        <w:autoSpaceDN/>
        <w:bidi w:val="0"/>
        <w:adjustRightInd/>
        <w:spacing w:line="440" w:lineRule="exact"/>
        <w:ind w:firstLine="560" w:firstLineChars="200"/>
        <w:textAlignment w:val="auto"/>
        <w:rPr>
          <w:rFonts w:hint="eastAsia" w:ascii="仿宋" w:hAnsi="仿宋" w:eastAsia="仿宋"/>
          <w:color w:val="000000"/>
          <w:sz w:val="28"/>
          <w:szCs w:val="28"/>
        </w:rPr>
      </w:pPr>
      <w:r>
        <w:rPr>
          <w:rFonts w:hint="eastAsia" w:ascii="仿宋" w:hAnsi="仿宋" w:eastAsia="仿宋"/>
          <w:color w:val="000000"/>
          <w:sz w:val="28"/>
          <w:szCs w:val="28"/>
        </w:rPr>
        <w:t>1.11 已诉债权甲方未申请变更执行人，存在执行中止、终结情形，买受人受让后可能无法变更执行申请人的情形。</w:t>
      </w:r>
    </w:p>
    <w:p>
      <w:pPr>
        <w:keepNext w:val="0"/>
        <w:keepLines w:val="0"/>
        <w:pageBreakBefore w:val="0"/>
        <w:widowControl w:val="0"/>
        <w:kinsoku/>
        <w:wordWrap/>
        <w:overflowPunct/>
        <w:topLinePunct w:val="0"/>
        <w:autoSpaceDE/>
        <w:autoSpaceDN/>
        <w:bidi w:val="0"/>
        <w:adjustRightInd/>
        <w:spacing w:line="440" w:lineRule="exact"/>
        <w:ind w:firstLine="560" w:firstLineChars="200"/>
        <w:textAlignment w:val="auto"/>
        <w:rPr>
          <w:rFonts w:hint="eastAsia" w:ascii="仿宋" w:hAnsi="仿宋" w:eastAsia="仿宋"/>
          <w:color w:val="000000"/>
          <w:sz w:val="28"/>
          <w:szCs w:val="28"/>
        </w:rPr>
      </w:pPr>
      <w:r>
        <w:rPr>
          <w:rFonts w:hint="eastAsia" w:ascii="仿宋" w:hAnsi="仿宋" w:eastAsia="仿宋"/>
          <w:color w:val="000000"/>
          <w:sz w:val="28"/>
          <w:szCs w:val="28"/>
        </w:rPr>
        <w:t>1.12已诉债权采取的诉讼保全措施可能存在已到期或即将到期未及时续封情形；</w:t>
      </w:r>
    </w:p>
    <w:p>
      <w:pPr>
        <w:keepNext w:val="0"/>
        <w:keepLines w:val="0"/>
        <w:pageBreakBefore w:val="0"/>
        <w:widowControl w:val="0"/>
        <w:kinsoku/>
        <w:wordWrap/>
        <w:overflowPunct/>
        <w:topLinePunct w:val="0"/>
        <w:autoSpaceDE/>
        <w:autoSpaceDN/>
        <w:bidi w:val="0"/>
        <w:adjustRightInd/>
        <w:spacing w:line="440" w:lineRule="exact"/>
        <w:ind w:firstLine="560" w:firstLineChars="200"/>
        <w:textAlignment w:val="auto"/>
        <w:rPr>
          <w:rFonts w:hint="eastAsia" w:ascii="仿宋" w:hAnsi="仿宋" w:eastAsia="仿宋"/>
          <w:color w:val="000000"/>
          <w:sz w:val="28"/>
          <w:szCs w:val="28"/>
        </w:rPr>
      </w:pPr>
      <w:r>
        <w:rPr>
          <w:rFonts w:hint="eastAsia" w:ascii="仿宋" w:hAnsi="仿宋" w:eastAsia="仿宋"/>
          <w:color w:val="000000"/>
          <w:sz w:val="28"/>
          <w:szCs w:val="28"/>
          <w:lang w:val="en-US" w:eastAsia="zh-CN"/>
        </w:rPr>
        <w:t>1.13</w:t>
      </w:r>
      <w:r>
        <w:rPr>
          <w:rFonts w:hint="eastAsia" w:ascii="仿宋" w:hAnsi="仿宋" w:eastAsia="仿宋"/>
          <w:color w:val="000000"/>
          <w:sz w:val="28"/>
          <w:szCs w:val="28"/>
        </w:rPr>
        <w:t>尽管委托人已对拟转让债权瑕疵作出上述披露，但该债权仍然存在包括但不限于如下瑕疵，</w:t>
      </w:r>
      <w:r>
        <w:rPr>
          <w:rFonts w:hint="eastAsia" w:ascii="仿宋" w:hAnsi="仿宋" w:eastAsia="仿宋"/>
          <w:color w:val="000000"/>
          <w:sz w:val="28"/>
          <w:szCs w:val="28"/>
          <w:lang w:eastAsia="zh-CN"/>
        </w:rPr>
        <w:t>竞买人</w:t>
      </w:r>
      <w:r>
        <w:rPr>
          <w:rFonts w:hint="eastAsia" w:ascii="仿宋" w:hAnsi="仿宋" w:eastAsia="仿宋"/>
          <w:color w:val="000000"/>
          <w:sz w:val="28"/>
          <w:szCs w:val="28"/>
        </w:rPr>
        <w:t>受让贷款债权前，已充分了解委托人告知的下列事实：</w:t>
      </w:r>
    </w:p>
    <w:p>
      <w:pPr>
        <w:keepNext w:val="0"/>
        <w:keepLines w:val="0"/>
        <w:pageBreakBefore w:val="0"/>
        <w:widowControl w:val="0"/>
        <w:kinsoku/>
        <w:wordWrap/>
        <w:overflowPunct/>
        <w:topLinePunct w:val="0"/>
        <w:autoSpaceDE/>
        <w:autoSpaceDN/>
        <w:bidi w:val="0"/>
        <w:adjustRightInd/>
        <w:spacing w:line="440" w:lineRule="exact"/>
        <w:ind w:firstLine="560" w:firstLineChars="200"/>
        <w:textAlignment w:val="auto"/>
        <w:rPr>
          <w:rFonts w:hint="eastAsia" w:ascii="仿宋" w:hAnsi="仿宋" w:eastAsia="仿宋"/>
          <w:color w:val="000000"/>
          <w:sz w:val="28"/>
          <w:szCs w:val="28"/>
        </w:rPr>
      </w:pPr>
      <w:r>
        <w:rPr>
          <w:rFonts w:hint="eastAsia" w:ascii="仿宋" w:hAnsi="仿宋" w:eastAsia="仿宋"/>
          <w:color w:val="000000"/>
          <w:sz w:val="28"/>
          <w:szCs w:val="28"/>
        </w:rPr>
        <w:t>债</w:t>
      </w:r>
      <w:r>
        <w:rPr>
          <w:rFonts w:hint="eastAsia" w:ascii="仿宋" w:hAnsi="仿宋" w:eastAsia="仿宋"/>
          <w:color w:val="000000"/>
          <w:sz w:val="28"/>
          <w:szCs w:val="28"/>
          <w:lang w:eastAsia="zh-CN"/>
        </w:rPr>
        <w:t>务人邹平县永通金属材料有限公司的</w:t>
      </w:r>
      <w:r>
        <w:rPr>
          <w:rFonts w:hint="eastAsia" w:ascii="仿宋" w:hAnsi="仿宋" w:eastAsia="仿宋"/>
          <w:color w:val="000000"/>
          <w:sz w:val="28"/>
          <w:szCs w:val="28"/>
        </w:rPr>
        <w:t>保证人山东玉玺炉料有限公司已进入破产</w:t>
      </w:r>
      <w:r>
        <w:rPr>
          <w:rFonts w:hint="eastAsia" w:ascii="仿宋" w:hAnsi="仿宋" w:eastAsia="仿宋"/>
          <w:color w:val="000000"/>
          <w:sz w:val="28"/>
          <w:szCs w:val="28"/>
          <w:lang w:eastAsia="zh-CN"/>
        </w:rPr>
        <w:t>重整</w:t>
      </w:r>
      <w:r>
        <w:rPr>
          <w:rFonts w:hint="eastAsia" w:ascii="仿宋" w:hAnsi="仿宋" w:eastAsia="仿宋"/>
          <w:color w:val="000000"/>
          <w:sz w:val="28"/>
          <w:szCs w:val="28"/>
        </w:rPr>
        <w:t>程序，甲方已申报债权，</w:t>
      </w:r>
      <w:r>
        <w:rPr>
          <w:rFonts w:hint="eastAsia" w:ascii="仿宋" w:hAnsi="仿宋" w:eastAsia="仿宋"/>
          <w:color w:val="000000"/>
          <w:sz w:val="28"/>
          <w:szCs w:val="28"/>
          <w:lang w:eastAsia="zh-CN"/>
        </w:rPr>
        <w:t>且申报数额已确认，破产方案已形成，但截止协议签订之日甲方尚未收到破产受偿款，</w:t>
      </w:r>
      <w:r>
        <w:rPr>
          <w:rFonts w:hint="eastAsia" w:ascii="仿宋" w:hAnsi="仿宋" w:eastAsia="仿宋"/>
          <w:color w:val="000000"/>
          <w:sz w:val="28"/>
          <w:szCs w:val="28"/>
        </w:rPr>
        <w:t>可能存在债权不能受偿的风险。</w:t>
      </w:r>
    </w:p>
    <w:p>
      <w:pPr>
        <w:keepNext w:val="0"/>
        <w:keepLines w:val="0"/>
        <w:pageBreakBefore w:val="0"/>
        <w:widowControl w:val="0"/>
        <w:kinsoku/>
        <w:wordWrap/>
        <w:overflowPunct/>
        <w:topLinePunct w:val="0"/>
        <w:autoSpaceDE/>
        <w:autoSpaceDN/>
        <w:bidi w:val="0"/>
        <w:adjustRightInd/>
        <w:spacing w:line="440" w:lineRule="exact"/>
        <w:ind w:firstLine="562" w:firstLineChars="200"/>
        <w:textAlignment w:val="auto"/>
        <w:rPr>
          <w:rFonts w:hint="eastAsia" w:ascii="仿宋" w:hAnsi="仿宋" w:eastAsia="仿宋"/>
          <w:b/>
          <w:bCs/>
          <w:color w:val="000000"/>
          <w:sz w:val="28"/>
          <w:szCs w:val="28"/>
          <w:lang w:eastAsia="zh-CN"/>
        </w:rPr>
      </w:pPr>
      <w:r>
        <w:rPr>
          <w:rFonts w:hint="eastAsia" w:ascii="仿宋" w:hAnsi="仿宋" w:eastAsia="仿宋"/>
          <w:b/>
          <w:bCs/>
          <w:color w:val="000000"/>
          <w:sz w:val="28"/>
          <w:szCs w:val="28"/>
          <w:lang w:eastAsia="zh-CN"/>
        </w:rPr>
        <w:t>竞买人</w:t>
      </w:r>
      <w:r>
        <w:rPr>
          <w:rFonts w:hint="eastAsia" w:ascii="仿宋" w:hAnsi="仿宋" w:eastAsia="仿宋"/>
          <w:b/>
          <w:bCs/>
          <w:color w:val="000000"/>
          <w:sz w:val="28"/>
          <w:szCs w:val="28"/>
        </w:rPr>
        <w:t>声明并承诺：本人已全面了解拍卖标的现状（包括瑕疵），认可本次拍卖会的全部要求，对所拍卖的标的无异议，并承诺按竞买协议及竞买须知要求办理各项事宜。如果违约，由委托方、拍卖公司按照《拍卖法》及有关法律规定办理，并承担违约责任。</w:t>
      </w:r>
    </w:p>
    <w:p>
      <w:pPr>
        <w:keepNext w:val="0"/>
        <w:keepLines w:val="0"/>
        <w:pageBreakBefore w:val="0"/>
        <w:widowControl w:val="0"/>
        <w:kinsoku/>
        <w:wordWrap/>
        <w:overflowPunct/>
        <w:topLinePunct w:val="0"/>
        <w:autoSpaceDE/>
        <w:autoSpaceDN/>
        <w:bidi w:val="0"/>
        <w:adjustRightInd/>
        <w:snapToGrid w:val="0"/>
        <w:spacing w:line="440" w:lineRule="exact"/>
        <w:ind w:firstLine="1820" w:firstLineChars="650"/>
        <w:jc w:val="left"/>
        <w:textAlignment w:val="auto"/>
        <w:rPr>
          <w:rFonts w:hint="eastAsia" w:ascii="仿宋" w:hAnsi="仿宋" w:eastAsia="仿宋"/>
          <w:color w:val="000000"/>
          <w:sz w:val="28"/>
          <w:szCs w:val="28"/>
        </w:rPr>
      </w:pPr>
    </w:p>
    <w:p>
      <w:pPr>
        <w:keepNext w:val="0"/>
        <w:keepLines w:val="0"/>
        <w:pageBreakBefore w:val="0"/>
        <w:widowControl w:val="0"/>
        <w:kinsoku/>
        <w:wordWrap/>
        <w:overflowPunct/>
        <w:topLinePunct w:val="0"/>
        <w:autoSpaceDE/>
        <w:autoSpaceDN/>
        <w:bidi w:val="0"/>
        <w:adjustRightInd/>
        <w:snapToGrid/>
        <w:spacing w:line="440" w:lineRule="exact"/>
        <w:ind w:firstLine="562" w:firstLineChars="200"/>
        <w:textAlignment w:val="auto"/>
        <w:rPr>
          <w:rFonts w:hint="eastAsia" w:ascii="仿宋" w:hAnsi="仿宋" w:eastAsia="仿宋"/>
          <w:b/>
          <w:bCs/>
          <w:color w:val="000000"/>
          <w:sz w:val="28"/>
          <w:szCs w:val="28"/>
        </w:rPr>
      </w:pPr>
      <w:r>
        <w:rPr>
          <w:rFonts w:hint="eastAsia" w:ascii="仿宋" w:hAnsi="仿宋" w:eastAsia="仿宋"/>
          <w:b/>
          <w:bCs/>
          <w:color w:val="000000"/>
          <w:sz w:val="28"/>
          <w:szCs w:val="28"/>
        </w:rPr>
        <w:t>竞买人（盖章）：</w:t>
      </w:r>
      <w:bookmarkStart w:id="0" w:name="_GoBack"/>
      <w:bookmarkEnd w:id="0"/>
    </w:p>
    <w:p>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jc w:val="left"/>
        <w:textAlignment w:val="auto"/>
        <w:rPr>
          <w:rFonts w:hint="eastAsia" w:ascii="仿宋" w:hAnsi="仿宋" w:eastAsia="仿宋"/>
          <w:color w:val="000000"/>
          <w:sz w:val="28"/>
          <w:szCs w:val="28"/>
        </w:rPr>
      </w:pPr>
      <w:r>
        <w:rPr>
          <w:rFonts w:hint="eastAsia" w:ascii="仿宋" w:hAnsi="仿宋" w:eastAsia="仿宋"/>
          <w:b/>
          <w:bCs/>
          <w:color w:val="000000"/>
          <w:sz w:val="28"/>
          <w:szCs w:val="28"/>
        </w:rPr>
        <w:t>法定代表人：</w:t>
      </w:r>
      <w:r>
        <w:rPr>
          <w:rFonts w:hint="eastAsia" w:ascii="仿宋" w:hAnsi="仿宋" w:eastAsia="仿宋"/>
          <w:b/>
          <w:bCs/>
          <w:color w:val="000000"/>
          <w:sz w:val="28"/>
          <w:szCs w:val="28"/>
        </w:rPr>
        <w:br w:type="textWrapping"/>
      </w:r>
      <w:r>
        <w:rPr>
          <w:rFonts w:hint="eastAsia" w:ascii="仿宋" w:hAnsi="仿宋" w:eastAsia="仿宋"/>
          <w:b/>
          <w:bCs/>
          <w:color w:val="000000"/>
          <w:sz w:val="28"/>
          <w:szCs w:val="28"/>
          <w:lang w:val="en-US" w:eastAsia="zh-CN"/>
        </w:rPr>
        <w:t xml:space="preserve">    </w:t>
      </w:r>
      <w:r>
        <w:rPr>
          <w:rFonts w:hint="eastAsia" w:ascii="仿宋" w:hAnsi="仿宋" w:eastAsia="仿宋"/>
          <w:b/>
          <w:bCs/>
          <w:color w:val="000000"/>
          <w:sz w:val="28"/>
          <w:szCs w:val="28"/>
        </w:rPr>
        <w:t xml:space="preserve">或委托代理人（签名）： </w:t>
      </w:r>
      <w:r>
        <w:rPr>
          <w:rFonts w:hint="eastAsia" w:ascii="仿宋" w:hAnsi="仿宋" w:eastAsia="仿宋"/>
          <w:color w:val="000000"/>
          <w:sz w:val="28"/>
          <w:szCs w:val="28"/>
        </w:rPr>
        <w:t xml:space="preserve"> </w:t>
      </w:r>
    </w:p>
    <w:p>
      <w:pPr>
        <w:keepNext w:val="0"/>
        <w:keepLines w:val="0"/>
        <w:pageBreakBefore w:val="0"/>
        <w:widowControl w:val="0"/>
        <w:kinsoku/>
        <w:wordWrap/>
        <w:overflowPunct/>
        <w:topLinePunct w:val="0"/>
        <w:autoSpaceDE/>
        <w:autoSpaceDN/>
        <w:bidi w:val="0"/>
        <w:adjustRightInd/>
        <w:spacing w:line="440" w:lineRule="exact"/>
        <w:ind w:firstLine="562" w:firstLineChars="200"/>
        <w:jc w:val="right"/>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 xml:space="preserve">光彩银星拍卖有限公司 </w:t>
      </w:r>
    </w:p>
    <w:p>
      <w:pPr>
        <w:keepNext w:val="0"/>
        <w:keepLines w:val="0"/>
        <w:pageBreakBefore w:val="0"/>
        <w:widowControl w:val="0"/>
        <w:kinsoku/>
        <w:wordWrap/>
        <w:overflowPunct/>
        <w:topLinePunct w:val="0"/>
        <w:autoSpaceDE/>
        <w:autoSpaceDN/>
        <w:bidi w:val="0"/>
        <w:adjustRightInd/>
        <w:spacing w:line="440" w:lineRule="exact"/>
        <w:ind w:firstLine="562" w:firstLineChars="200"/>
        <w:jc w:val="right"/>
        <w:textAlignment w:val="auto"/>
        <w:rPr>
          <w:rFonts w:hint="eastAsia" w:ascii="仿宋" w:hAnsi="仿宋" w:eastAsia="仿宋"/>
          <w:color w:val="000000"/>
          <w:sz w:val="28"/>
          <w:szCs w:val="28"/>
        </w:rPr>
      </w:pPr>
      <w:r>
        <w:rPr>
          <w:rFonts w:hint="eastAsia" w:ascii="仿宋" w:hAnsi="仿宋" w:eastAsia="仿宋" w:cs="仿宋"/>
          <w:b/>
          <w:bCs/>
          <w:color w:val="000000"/>
          <w:sz w:val="28"/>
          <w:szCs w:val="28"/>
        </w:rPr>
        <w:t>二O二O年</w:t>
      </w:r>
      <w:r>
        <w:rPr>
          <w:rFonts w:hint="eastAsia" w:ascii="仿宋" w:hAnsi="仿宋" w:eastAsia="仿宋" w:cs="仿宋"/>
          <w:b/>
          <w:bCs/>
          <w:color w:val="000000"/>
          <w:sz w:val="28"/>
          <w:szCs w:val="28"/>
          <w:lang w:eastAsia="zh-CN"/>
        </w:rPr>
        <w:t>一</w:t>
      </w:r>
      <w:r>
        <w:rPr>
          <w:rFonts w:hint="eastAsia" w:ascii="仿宋" w:hAnsi="仿宋" w:eastAsia="仿宋" w:cs="仿宋"/>
          <w:b/>
          <w:bCs/>
          <w:color w:val="000000"/>
          <w:sz w:val="28"/>
          <w:szCs w:val="28"/>
        </w:rPr>
        <w:t>月</w:t>
      </w:r>
      <w:r>
        <w:rPr>
          <w:rFonts w:hint="eastAsia" w:ascii="仿宋" w:hAnsi="仿宋" w:eastAsia="仿宋" w:cs="仿宋"/>
          <w:b/>
          <w:bCs/>
          <w:color w:val="000000"/>
          <w:sz w:val="28"/>
          <w:szCs w:val="28"/>
          <w:lang w:val="en-US" w:eastAsia="zh-CN"/>
        </w:rPr>
        <w:t>十一</w:t>
      </w:r>
      <w:r>
        <w:rPr>
          <w:rFonts w:hint="eastAsia" w:ascii="仿宋" w:hAnsi="仿宋" w:eastAsia="仿宋" w:cs="仿宋"/>
          <w:b/>
          <w:bCs/>
          <w:color w:val="000000"/>
          <w:sz w:val="28"/>
          <w:szCs w:val="28"/>
        </w:rPr>
        <w:t>日</w:t>
      </w:r>
      <w:r>
        <w:rPr>
          <w:rFonts w:hint="eastAsia" w:ascii="仿宋" w:hAnsi="仿宋" w:eastAsia="仿宋" w:cs="仿宋"/>
          <w:b/>
          <w:bCs/>
          <w:i w:val="0"/>
          <w:caps w:val="0"/>
          <w:color w:val="333333"/>
          <w:spacing w:val="0"/>
          <w:kern w:val="0"/>
          <w:sz w:val="28"/>
          <w:szCs w:val="28"/>
          <w:lang w:val="en-US" w:eastAsia="zh-CN" w:bidi="ar"/>
        </w:rPr>
        <w:t xml:space="preserve"> </w:t>
      </w: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0B22"/>
    <w:rsid w:val="000107E6"/>
    <w:rsid w:val="0005093E"/>
    <w:rsid w:val="00087F4D"/>
    <w:rsid w:val="000C1FB2"/>
    <w:rsid w:val="00156C84"/>
    <w:rsid w:val="001A10D8"/>
    <w:rsid w:val="00380600"/>
    <w:rsid w:val="00407E1B"/>
    <w:rsid w:val="00411964"/>
    <w:rsid w:val="00493FA1"/>
    <w:rsid w:val="004A7B13"/>
    <w:rsid w:val="00503251"/>
    <w:rsid w:val="00531492"/>
    <w:rsid w:val="005379A1"/>
    <w:rsid w:val="0059204E"/>
    <w:rsid w:val="005D45D0"/>
    <w:rsid w:val="00677725"/>
    <w:rsid w:val="00696159"/>
    <w:rsid w:val="006B3DF6"/>
    <w:rsid w:val="007745EF"/>
    <w:rsid w:val="00776E28"/>
    <w:rsid w:val="00972FCC"/>
    <w:rsid w:val="009E6445"/>
    <w:rsid w:val="00A1557D"/>
    <w:rsid w:val="00A15E89"/>
    <w:rsid w:val="00A602BA"/>
    <w:rsid w:val="00AB16F9"/>
    <w:rsid w:val="00AF5D9E"/>
    <w:rsid w:val="00BB656E"/>
    <w:rsid w:val="00BD078F"/>
    <w:rsid w:val="00C1405E"/>
    <w:rsid w:val="00C169DB"/>
    <w:rsid w:val="00D06D12"/>
    <w:rsid w:val="00D80BE3"/>
    <w:rsid w:val="00DB4569"/>
    <w:rsid w:val="00DF597A"/>
    <w:rsid w:val="00E07736"/>
    <w:rsid w:val="00E3263C"/>
    <w:rsid w:val="00E614E2"/>
    <w:rsid w:val="00EE4177"/>
    <w:rsid w:val="00F91415"/>
    <w:rsid w:val="00F970C3"/>
    <w:rsid w:val="00FB0511"/>
    <w:rsid w:val="00FE2755"/>
    <w:rsid w:val="06C94957"/>
    <w:rsid w:val="09425FAD"/>
    <w:rsid w:val="0B7E7EBE"/>
    <w:rsid w:val="0C5A107B"/>
    <w:rsid w:val="0D434043"/>
    <w:rsid w:val="0D65710B"/>
    <w:rsid w:val="11182188"/>
    <w:rsid w:val="180A2B62"/>
    <w:rsid w:val="1BC33CDD"/>
    <w:rsid w:val="1D3E2881"/>
    <w:rsid w:val="1DB544EB"/>
    <w:rsid w:val="1F8220EA"/>
    <w:rsid w:val="1FA207BB"/>
    <w:rsid w:val="26767A40"/>
    <w:rsid w:val="2B5447CA"/>
    <w:rsid w:val="2C510C64"/>
    <w:rsid w:val="2D2312B4"/>
    <w:rsid w:val="3723716F"/>
    <w:rsid w:val="3B467592"/>
    <w:rsid w:val="410D7B65"/>
    <w:rsid w:val="411421CE"/>
    <w:rsid w:val="465D2D4B"/>
    <w:rsid w:val="48853BDF"/>
    <w:rsid w:val="49E4638E"/>
    <w:rsid w:val="4A8F1DB8"/>
    <w:rsid w:val="4B8A14E3"/>
    <w:rsid w:val="4C677B03"/>
    <w:rsid w:val="4F390BF3"/>
    <w:rsid w:val="56562E54"/>
    <w:rsid w:val="56C519DC"/>
    <w:rsid w:val="5A003404"/>
    <w:rsid w:val="5B8E1592"/>
    <w:rsid w:val="5C5D6F34"/>
    <w:rsid w:val="5F726342"/>
    <w:rsid w:val="61332879"/>
    <w:rsid w:val="63EB7DE4"/>
    <w:rsid w:val="6B1F1452"/>
    <w:rsid w:val="6C372BFF"/>
    <w:rsid w:val="73120ACD"/>
    <w:rsid w:val="74F3142E"/>
    <w:rsid w:val="786116AF"/>
    <w:rsid w:val="78D43D9B"/>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link w:val="11"/>
    <w:qFormat/>
    <w:uiPriority w:val="0"/>
  </w:style>
  <w:style w:type="table" w:default="1" w:styleId="9">
    <w:name w:val="Normal Table"/>
    <w:unhideWhenUsed/>
    <w:uiPriority w:val="99"/>
    <w:tblPr>
      <w:tblCellMar>
        <w:top w:w="0" w:type="dxa"/>
        <w:left w:w="108" w:type="dxa"/>
        <w:bottom w:w="0" w:type="dxa"/>
        <w:right w:w="108" w:type="dxa"/>
      </w:tblCellMar>
    </w:tblPr>
  </w:style>
  <w:style w:type="paragraph" w:styleId="2">
    <w:name w:val="Body Text"/>
    <w:basedOn w:val="1"/>
    <w:qFormat/>
    <w:uiPriority w:val="0"/>
    <w:rPr>
      <w:rFonts w:eastAsia="仿宋_GB2312"/>
      <w:sz w:val="32"/>
    </w:rPr>
  </w:style>
  <w:style w:type="paragraph" w:styleId="3">
    <w:name w:val="Body Text Indent"/>
    <w:basedOn w:val="1"/>
    <w:qFormat/>
    <w:uiPriority w:val="0"/>
    <w:pPr>
      <w:spacing w:after="120" w:afterLines="0"/>
      <w:ind w:left="420" w:leftChars="200"/>
    </w:pPr>
  </w:style>
  <w:style w:type="paragraph" w:styleId="4">
    <w:name w:val="Date"/>
    <w:basedOn w:val="1"/>
    <w:next w:val="1"/>
    <w:link w:val="16"/>
    <w:qFormat/>
    <w:uiPriority w:val="0"/>
    <w:pPr>
      <w:ind w:left="100" w:leftChars="2500"/>
    </w:pPr>
    <w:rPr>
      <w:kern w:val="2"/>
      <w:sz w:val="21"/>
      <w:szCs w:val="24"/>
    </w:rPr>
  </w:style>
  <w:style w:type="paragraph" w:styleId="5">
    <w:name w:val="Body Text Indent 2"/>
    <w:basedOn w:val="1"/>
    <w:qFormat/>
    <w:uiPriority w:val="0"/>
    <w:pPr>
      <w:ind w:firstLine="642" w:firstLineChars="200"/>
    </w:pPr>
    <w:rPr>
      <w:rFonts w:eastAsia="仿宋_GB2312"/>
      <w:sz w:val="32"/>
    </w:rPr>
  </w:style>
  <w:style w:type="paragraph" w:styleId="6">
    <w:name w:val="Balloon Text"/>
    <w:basedOn w:val="1"/>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link w:val="17"/>
    <w:qFormat/>
    <w:uiPriority w:val="0"/>
    <w:pPr>
      <w:pBdr>
        <w:bottom w:val="single" w:color="auto" w:sz="6" w:space="1"/>
      </w:pBdr>
      <w:tabs>
        <w:tab w:val="center" w:pos="4153"/>
        <w:tab w:val="right" w:pos="8306"/>
      </w:tabs>
      <w:snapToGrid w:val="0"/>
      <w:jc w:val="center"/>
    </w:pPr>
    <w:rPr>
      <w:kern w:val="2"/>
      <w:sz w:val="18"/>
      <w:szCs w:val="18"/>
    </w:rPr>
  </w:style>
  <w:style w:type="paragraph" w:customStyle="1" w:styleId="11">
    <w:name w:val="_Style 7"/>
    <w:basedOn w:val="1"/>
    <w:link w:val="10"/>
    <w:qFormat/>
    <w:uiPriority w:val="0"/>
  </w:style>
  <w:style w:type="character" w:styleId="12">
    <w:name w:val="page number"/>
    <w:basedOn w:val="10"/>
    <w:qFormat/>
    <w:uiPriority w:val="0"/>
  </w:style>
  <w:style w:type="paragraph" w:customStyle="1" w:styleId="13">
    <w:name w:val="Char"/>
    <w:basedOn w:val="1"/>
    <w:qFormat/>
    <w:uiPriority w:val="0"/>
  </w:style>
  <w:style w:type="paragraph" w:customStyle="1" w:styleId="14">
    <w:name w:val="默认段落字体 Para Char Char Char Char Char Char Char"/>
    <w:basedOn w:val="1"/>
    <w:qFormat/>
    <w:uiPriority w:val="0"/>
  </w:style>
  <w:style w:type="paragraph" w:customStyle="1" w:styleId="15">
    <w:name w:val=" Char"/>
    <w:basedOn w:val="1"/>
    <w:qFormat/>
    <w:uiPriority w:val="0"/>
  </w:style>
  <w:style w:type="character" w:customStyle="1" w:styleId="16">
    <w:name w:val="日期 Char"/>
    <w:link w:val="4"/>
    <w:qFormat/>
    <w:uiPriority w:val="0"/>
    <w:rPr>
      <w:kern w:val="2"/>
      <w:sz w:val="21"/>
      <w:szCs w:val="24"/>
    </w:rPr>
  </w:style>
  <w:style w:type="character" w:customStyle="1" w:styleId="17">
    <w:name w:val="页眉 Char Char"/>
    <w:link w:val="8"/>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GWAMCC</Company>
  <Pages>4</Pages>
  <Words>346</Words>
  <Characters>1978</Characters>
  <Lines>16</Lines>
  <Paragraphs>4</Paragraphs>
  <TotalTime>0</TotalTime>
  <ScaleCrop>false</ScaleCrop>
  <LinksUpToDate>false</LinksUpToDate>
  <CharactersWithSpaces>2320</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2009-08-21T00:09:00Z</dcterms:created>
  <dc:creator>陈炜(总公司)</dc:creator>
  <cp:lastModifiedBy>Administrator</cp:lastModifiedBy>
  <cp:lastPrinted>2013-11-29T06:53:00Z</cp:lastPrinted>
  <dcterms:modified xsi:type="dcterms:W3CDTF">2020-01-15T01:18:52Z</dcterms:modified>
  <dc:title>附件1：</dc:title>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