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竞买须知及注意事项</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根据《中华人民共和国拍卖法》及相关法律、法规的规定和“公开、公平、公正、诚实信用”的原则制定以下内容：</w:t>
      </w:r>
    </w:p>
    <w:p>
      <w:pPr>
        <w:pStyle w:val="9"/>
        <w:numPr>
          <w:ilvl w:val="0"/>
          <w:numId w:val="1"/>
        </w:numPr>
        <w:spacing w:line="360" w:lineRule="auto"/>
        <w:ind w:firstLine="723" w:firstLineChars="30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b/>
          <w:bCs/>
          <w:sz w:val="24"/>
          <w:szCs w:val="24"/>
          <w:lang w:val="en-US" w:eastAsia="zh-CN"/>
        </w:rPr>
        <w:t>拍卖标的：</w:t>
      </w:r>
      <w:r>
        <w:rPr>
          <w:rFonts w:hint="eastAsia" w:ascii="仿宋_GB2312" w:hAnsi="仿宋_GB2312" w:eastAsia="仿宋_GB2312" w:cs="仿宋_GB2312"/>
          <w:sz w:val="24"/>
          <w:szCs w:val="24"/>
          <w:lang w:val="en-US" w:eastAsia="zh-CN"/>
        </w:rPr>
        <w:t>1、戈晶债权一宗，2、烟台绿斯达建筑安装有限公司债权一宗，以上标的整体拍卖。</w:t>
      </w:r>
    </w:p>
    <w:p>
      <w:pPr>
        <w:pStyle w:val="9"/>
        <w:numPr>
          <w:ilvl w:val="0"/>
          <w:numId w:val="0"/>
        </w:numPr>
        <w:spacing w:line="360" w:lineRule="auto"/>
        <w:ind w:firstLine="723" w:firstLineChars="30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b/>
          <w:bCs/>
          <w:sz w:val="24"/>
          <w:szCs w:val="24"/>
          <w:lang w:val="en-US" w:eastAsia="zh-CN"/>
        </w:rPr>
        <w:t>二、竞买人登记：</w:t>
      </w:r>
      <w:r>
        <w:rPr>
          <w:rFonts w:hint="default" w:ascii="仿宋_GB2312" w:hAnsi="仿宋_GB2312" w:eastAsia="仿宋_GB2312" w:cs="仿宋_GB2312"/>
          <w:sz w:val="24"/>
          <w:szCs w:val="24"/>
          <w:lang w:val="en-US" w:eastAsia="zh-CN"/>
        </w:rPr>
        <w:t>竞买人应于拍卖日前完成以下操作。</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1、竞买人应登录：洪力自助公益拍卖平台（www.honglipai.net）（简称“洪力网”）注册登记并报名参与竞买；</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2、将竞买保证金打入拍卖人指定账户（以到账为准）；</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3、竞买人持营业执照、法人身份证及复印件、公章、法人章、个人身份证件及复印件等有效证件和银行缴款凭证到拍卖人指定地点办理报名登记手续；</w:t>
      </w:r>
    </w:p>
    <w:p>
      <w:pPr>
        <w:pStyle w:val="9"/>
        <w:spacing w:line="360" w:lineRule="auto"/>
        <w:ind w:left="420" w:firstLine="480"/>
        <w:rPr>
          <w:rFonts w:hint="eastAsia" w:ascii="仿宋_GB2312" w:hAnsi="仿宋_GB2312" w:eastAsia="仿宋_GB2312" w:cs="仿宋_GB2312"/>
          <w:kern w:val="2"/>
          <w:sz w:val="24"/>
          <w:szCs w:val="24"/>
          <w:lang w:val="en-US" w:eastAsia="zh-CN" w:bidi="ar-SA"/>
        </w:rPr>
      </w:pPr>
      <w:r>
        <w:rPr>
          <w:rFonts w:hint="default" w:ascii="仿宋_GB2312" w:hAnsi="仿宋_GB2312" w:eastAsia="仿宋_GB2312" w:cs="仿宋_GB2312"/>
          <w:sz w:val="24"/>
          <w:szCs w:val="24"/>
          <w:lang w:val="en-US" w:eastAsia="zh-CN"/>
        </w:rPr>
        <w:t>4、按照拍卖人规定一切手续办理完成后，拍卖人向竞买人分配“竞买号”</w:t>
      </w:r>
      <w:r>
        <w:rPr>
          <w:rFonts w:hint="default" w:ascii="仿宋_GB2312" w:hAnsi="仿宋_GB2312" w:eastAsia="仿宋_GB2312" w:cs="仿宋_GB2312"/>
          <w:kern w:val="2"/>
          <w:sz w:val="24"/>
          <w:szCs w:val="24"/>
          <w:lang w:val="en-US" w:eastAsia="zh-CN" w:bidi="ar-SA"/>
        </w:rPr>
        <w:t>。</w:t>
      </w:r>
    </w:p>
    <w:p>
      <w:pPr>
        <w:ind w:left="359" w:leftChars="171" w:firstLine="361" w:firstLineChars="150"/>
        <w:rPr>
          <w:rFonts w:hint="eastAsia" w:ascii="仿宋_GB2312" w:hAnsi="仿宋_GB2312" w:eastAsia="仿宋_GB2312" w:cs="仿宋_GB2312"/>
          <w:kern w:val="2"/>
          <w:sz w:val="24"/>
          <w:szCs w:val="24"/>
          <w:lang w:val="en-US" w:eastAsia="zh-CN" w:bidi="ar-SA"/>
        </w:rPr>
      </w:pPr>
      <w:r>
        <w:rPr>
          <w:rFonts w:hint="default" w:ascii="仿宋_GB2312" w:hAnsi="仿宋_GB2312" w:eastAsia="仿宋_GB2312" w:cs="仿宋_GB2312"/>
          <w:b/>
          <w:bCs/>
          <w:kern w:val="2"/>
          <w:sz w:val="24"/>
          <w:szCs w:val="24"/>
          <w:lang w:val="en-US" w:eastAsia="zh-CN" w:bidi="ar-SA"/>
        </w:rPr>
        <w:t>三、竞买帐号、密码的使用</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凡在洪力网上以竞买人的帐号和密码登录后进行的操作，均被视为竞买人的行为，竞买人应当对以其帐号进行的所有活动和事件负法律责任。</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竞买人应当妥善保管在洪力网上注册的帐号及密码，且只限本人使用，不应将其帐号、密码转让或出借予他人或组织使用。如竞买人发现其帐号遭他人非法使用，应立即通知拍卖人和洪力网。因黑客行为或用户故意或者过失导致帐号、密码遭他人非法使用，并造成竞买人自身损失，拍卖人不承担任何责任。</w:t>
      </w:r>
    </w:p>
    <w:p>
      <w:pPr>
        <w:ind w:left="359" w:leftChars="171" w:firstLine="361" w:firstLineChars="150"/>
        <w:rPr>
          <w:rFonts w:hint="eastAsia" w:ascii="仿宋_GB2312" w:hAnsi="仿宋_GB2312" w:eastAsia="仿宋_GB2312" w:cs="仿宋_GB2312"/>
          <w:b/>
          <w:bCs/>
          <w:kern w:val="2"/>
          <w:sz w:val="24"/>
          <w:szCs w:val="24"/>
          <w:lang w:val="en-US" w:eastAsia="zh-CN" w:bidi="ar-SA"/>
        </w:rPr>
      </w:pPr>
      <w:r>
        <w:rPr>
          <w:rFonts w:hint="default" w:ascii="仿宋_GB2312" w:hAnsi="仿宋_GB2312" w:eastAsia="仿宋_GB2312" w:cs="仿宋_GB2312"/>
          <w:b/>
          <w:bCs/>
          <w:kern w:val="2"/>
          <w:sz w:val="24"/>
          <w:szCs w:val="24"/>
          <w:lang w:val="en-US" w:eastAsia="zh-CN" w:bidi="ar-SA"/>
        </w:rPr>
        <w:t>四、网上竞买风险</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由于互联网可能出现不稳定情况，不排除网络拍卖过程中发生网络故障（包括但不限于网络故障、电路故障、系统故障）以及被网络黑客恶意攻击等，竞买人必须充分估计上述原因导致网上竞价不同于现场竞价所带来的风险，如果发生上述情况以及本人操作差错所造成的损失均由竞买人承担。</w:t>
      </w:r>
    </w:p>
    <w:p>
      <w:pPr>
        <w:pStyle w:val="9"/>
        <w:spacing w:line="360" w:lineRule="auto"/>
        <w:ind w:left="420" w:firstLine="480"/>
        <w:rPr>
          <w:rFonts w:hint="eastAsia" w:ascii="仿宋_GB2312" w:hAnsi="仿宋_GB2312" w:eastAsia="仿宋_GB2312" w:cs="仿宋_GB2312"/>
          <w:kern w:val="2"/>
          <w:sz w:val="24"/>
          <w:szCs w:val="24"/>
          <w:lang w:val="en-US" w:eastAsia="zh-CN" w:bidi="ar-SA"/>
        </w:rPr>
      </w:pPr>
      <w:r>
        <w:rPr>
          <w:rFonts w:hint="default" w:ascii="仿宋_GB2312" w:hAnsi="仿宋_GB2312" w:eastAsia="仿宋_GB2312" w:cs="仿宋_GB2312"/>
          <w:sz w:val="24"/>
          <w:szCs w:val="24"/>
          <w:lang w:val="en-US" w:eastAsia="zh-CN"/>
        </w:rPr>
        <w:t>网络竞买人一旦参与网上竞价，即认同和接受网络拍卖的客观状态、拍卖会现场传导给客户端的拍卖标的图文信息和音频视频直播信号、拍卖师的主持、拍卖成交价的确认。</w:t>
      </w:r>
    </w:p>
    <w:p>
      <w:pPr>
        <w:ind w:left="359" w:leftChars="171" w:firstLine="361" w:firstLineChars="150"/>
        <w:rPr>
          <w:rFonts w:hint="eastAsia" w:ascii="仿宋_GB2312" w:hAnsi="仿宋_GB2312" w:eastAsia="仿宋_GB2312" w:cs="仿宋_GB2312"/>
          <w:kern w:val="2"/>
          <w:sz w:val="24"/>
          <w:szCs w:val="24"/>
          <w:lang w:val="en-US" w:eastAsia="zh-CN" w:bidi="ar-SA"/>
        </w:rPr>
      </w:pPr>
      <w:r>
        <w:rPr>
          <w:rFonts w:hint="default" w:ascii="仿宋_GB2312" w:hAnsi="仿宋_GB2312" w:eastAsia="仿宋_GB2312" w:cs="仿宋_GB2312"/>
          <w:b/>
          <w:bCs/>
          <w:kern w:val="2"/>
          <w:sz w:val="24"/>
          <w:szCs w:val="24"/>
          <w:lang w:val="en-US" w:eastAsia="zh-CN" w:bidi="ar-SA"/>
        </w:rPr>
        <w:t>五、特别声明：</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（一）委托人仅保证对本次拍卖标的享有合法的处分权，不保证标的不存在其他瑕疵。</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（二）本场拍卖会拍卖标的以债权现状为准拍卖、移交，买受人付清全部成交价款和拍卖佣金后，即可获取拍卖标的。由委托人直接与买受人办理标的移交手续。</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以上标的在网上竞价开始前，委托人随时有中止、撤回拍卖的权利，中止、撤回拍卖后，委托人和拍卖人不承担任何责任；本次拍卖的债权可能存在包括但不限于以下瑕疵：（1）标的债权的债务人、担保人可能因丧失偿债能力导致债权无法实现；（2）标的债权的债务人、担保人已经破产、解散、歇业、注销、吊销营业执照或无履行能力、下落不明；（3）委托人不保证标的债权能得到清偿，买受人承担标的债权不能部分或全部受偿的风险；（4）竞买人受让债权后，对该债权按原借款合同产生的利息、逾期利息、罚息、复利等的请求权，由于法律政策导向的不确定性，存在可能无法享有的法律风险；（5）标的债权或担保已经超过诉讼时效（含保证期间）、执行时效或担保人已免责，同时缺少主张诉讼时效（含保证期间）、执行时效中断或中止的任何证明；（6）标的债权的借款合同或担保合同可能无效或被撤销、确认债权的法律文书可能被撤销；（7）标的债权的担保物权无效、担保物已灭失或担保物权在有效期内未行使，且没有代位物或其他物上代位权可行使；(8)标的债权的担保物可能与担保权证记载的担保物数量、质量等可能存在不符；（9）标的债权的担保物权可能未办理登记或登记有瑕疵；（10）标的债权的担保物权可能因存在其他物权或其他事由而无法行使；（11）标的债权所涉及担保物权属只有相关文件，可能存在无产权证书等情况；（12）标的债权存在，但债权证明文件缺失或内容相冲突；（13）竞买人受让债权后，可能存在不能变更诉讼主体、执行主体等诉讼风险；（14）买受人实际接收的债权额可能因存在计算误差或者存在部分未予抵销的债权等情况，从而导致与表述的债权金额不完全一致；（15）标的债权及其从权利存在的其他瑕疵或重大缺陷。上述无论何种情况，拍卖成交价款不予调整。</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拍卖标的所涉及拍卖、交易、实现债权所有产生税、费等一切费用（包括但不限于上述费用）均由买受人承担。因债权转让导致债务人、担保人等相关清偿人员履行费用增加的，增加的履行费用由买受人承担。</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（五）拍卖标的所涉及抵押物以现状进行拍卖，其外观、结构、固定装修、标的物内的配套设施及内在质量以移交时的现状为准；</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（六）拍卖标的所涉及抵押物如有占用及租赁等问题均由买受人通过合法手段自行腾迁，腾迁过程中产生的一切费用由买受人承担；</w:t>
      </w:r>
    </w:p>
    <w:p>
      <w:pPr>
        <w:pStyle w:val="9"/>
        <w:spacing w:line="360" w:lineRule="auto"/>
        <w:ind w:left="420" w:firstLine="48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（七）拍卖标的债务人、担保人的经营和资产负债情况由竞买人自行调研；拍卖标的债权及抵押物情况由买受人自行尽职调查；</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（八）本次债权拍卖的基准日按转让债权委托方提供资料为准；</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（九）拍卖标的其他未尽事宜按照《债权转让协议》执行；</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(十)拍卖成交后，买受人须在2022年12月27日下午三点前（到账为准），付清全部成交价款及拍卖佣金，否则即视为违约。</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（十一）</w:t>
      </w:r>
      <w:r>
        <w:rPr>
          <w:rFonts w:hint="default" w:ascii="仿宋_GB2312" w:hAnsi="仿宋_GB2312" w:eastAsia="仿宋_GB2312" w:cs="仿宋_GB2312"/>
          <w:sz w:val="24"/>
          <w:szCs w:val="24"/>
          <w:lang w:val="en-US" w:eastAsia="zh-CN"/>
        </w:rPr>
        <w:t>拍卖成交后，买受人应在拍卖现场立即签署《拍卖成交确认书》，并在</w:t>
      </w:r>
      <w:r>
        <w:rPr>
          <w:rFonts w:hint="eastAsia" w:ascii="仿宋_GB2312" w:hAnsi="仿宋_GB2312" w:eastAsia="仿宋_GB2312" w:cs="仿宋_GB2312"/>
          <w:sz w:val="24"/>
          <w:szCs w:val="24"/>
          <w:lang w:val="en-US" w:eastAsia="zh-CN"/>
        </w:rPr>
        <w:t>交清</w:t>
      </w:r>
      <w:r>
        <w:rPr>
          <w:rFonts w:hint="default" w:ascii="仿宋_GB2312" w:hAnsi="仿宋_GB2312" w:eastAsia="仿宋_GB2312" w:cs="仿宋_GB2312"/>
          <w:sz w:val="24"/>
          <w:szCs w:val="24"/>
          <w:lang w:val="en-US" w:eastAsia="zh-CN"/>
        </w:rPr>
        <w:t>全部拍卖</w:t>
      </w:r>
      <w:r>
        <w:rPr>
          <w:rFonts w:hint="eastAsia" w:ascii="仿宋_GB2312" w:hAnsi="仿宋_GB2312" w:eastAsia="仿宋_GB2312" w:cs="仿宋_GB2312"/>
          <w:sz w:val="24"/>
          <w:szCs w:val="24"/>
          <w:lang w:val="en-US" w:eastAsia="zh-CN"/>
        </w:rPr>
        <w:t>成交</w:t>
      </w:r>
      <w:r>
        <w:rPr>
          <w:rFonts w:hint="default" w:ascii="仿宋_GB2312" w:hAnsi="仿宋_GB2312" w:eastAsia="仿宋_GB2312" w:cs="仿宋_GB2312"/>
          <w:sz w:val="24"/>
          <w:szCs w:val="24"/>
          <w:lang w:val="en-US" w:eastAsia="zh-CN"/>
        </w:rPr>
        <w:t>价款</w:t>
      </w:r>
      <w:r>
        <w:rPr>
          <w:rFonts w:hint="eastAsia" w:ascii="仿宋_GB2312" w:hAnsi="仿宋_GB2312" w:eastAsia="仿宋_GB2312" w:cs="仿宋_GB2312"/>
          <w:sz w:val="24"/>
          <w:szCs w:val="24"/>
          <w:lang w:val="en-US" w:eastAsia="zh-CN"/>
        </w:rPr>
        <w:t>及拍卖佣金</w:t>
      </w:r>
      <w:r>
        <w:rPr>
          <w:rFonts w:hint="default" w:ascii="仿宋_GB2312" w:hAnsi="仿宋_GB2312" w:eastAsia="仿宋_GB2312" w:cs="仿宋_GB2312"/>
          <w:sz w:val="24"/>
          <w:szCs w:val="24"/>
          <w:lang w:val="en-US" w:eastAsia="zh-CN"/>
        </w:rPr>
        <w:t>后</w:t>
      </w:r>
      <w:r>
        <w:rPr>
          <w:rFonts w:hint="eastAsia" w:ascii="仿宋_GB2312" w:hAnsi="仿宋_GB2312" w:eastAsia="仿宋_GB2312" w:cs="仿宋_GB2312"/>
          <w:sz w:val="24"/>
          <w:szCs w:val="24"/>
          <w:lang w:val="en-US" w:eastAsia="zh-CN"/>
        </w:rPr>
        <w:t>凭成交确认书及身份证明原件</w:t>
      </w:r>
      <w:r>
        <w:rPr>
          <w:rFonts w:hint="default" w:ascii="仿宋_GB2312" w:hAnsi="仿宋_GB2312" w:eastAsia="仿宋_GB2312" w:cs="仿宋_GB2312"/>
          <w:sz w:val="24"/>
          <w:szCs w:val="24"/>
          <w:lang w:val="en-US" w:eastAsia="zh-CN"/>
        </w:rPr>
        <w:t>与委托人签订《债权转让协议》。</w:t>
      </w:r>
      <w:bookmarkStart w:id="0" w:name="_GoBack"/>
      <w:bookmarkEnd w:id="0"/>
    </w:p>
    <w:p>
      <w:pPr>
        <w:pStyle w:val="9"/>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（十二）拍卖人对权属确认手续的办理过程及结果不做任何担保，拍卖成交后，无论是否出现与标的现状不一致的情况，拍卖成交价款和佣金均保持不变。</w:t>
      </w:r>
    </w:p>
    <w:p>
      <w:pPr>
        <w:pStyle w:val="9"/>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（十三）</w:t>
      </w:r>
      <w:r>
        <w:rPr>
          <w:rFonts w:hint="default" w:ascii="仿宋_GB2312" w:hAnsi="仿宋_GB2312" w:eastAsia="仿宋_GB2312" w:cs="仿宋_GB2312"/>
          <w:sz w:val="24"/>
          <w:szCs w:val="24"/>
          <w:lang w:val="en-US" w:eastAsia="zh-CN"/>
        </w:rPr>
        <w:t>本次竞买人范围限定为：中华人民共和国境内外的具有完全民事行为能力的自然人、合法存续的法人或其他组织。竞买人不得为：外籍人员、外资企业；国家公务人员、金融监管机构工作人员、政法干警；委托人及其直系亲属；国有企业债务人管理人员；参与资产处置工作的金融机构工作人员、律师、会计师、评估师等中介机构人员及其近亲属或关联人以及上述关联人参与的法人或其他组织；借款人、保证人及其他相关义务人；失信被执行人的法定代表人、主要负责人、影响债务履行的直接责任人员等；在委托人处有不良信用记录的人员或机构；与上述人员有直系亲属关系或关联关系的人员，以及其他相关法律、行政法规及规范性文件中规定的不得购买或变相购买不良资产的主体，也不得参与购买。属于委托人关联方的企业及个人应在拍卖前予以告知。 </w:t>
      </w:r>
    </w:p>
    <w:p>
      <w:pPr>
        <w:spacing w:line="360" w:lineRule="auto"/>
        <w:ind w:left="420" w:leftChars="200"/>
        <w:rPr>
          <w:rFonts w:hint="eastAsia" w:ascii="仿宋_GB2312" w:hAnsi="仿宋_GB2312" w:eastAsia="仿宋_GB2312" w:cs="仿宋_GB2312"/>
          <w:b/>
          <w:sz w:val="24"/>
          <w:szCs w:val="24"/>
        </w:rPr>
      </w:pPr>
    </w:p>
    <w:p>
      <w:pPr>
        <w:spacing w:line="360" w:lineRule="auto"/>
        <w:ind w:left="420" w:leftChars="200"/>
        <w:rPr>
          <w:rFonts w:ascii="仿宋_GB2312" w:hAnsi="仿宋_GB2312" w:eastAsia="仿宋_GB2312" w:cs="仿宋_GB2312"/>
          <w:b/>
          <w:sz w:val="24"/>
          <w:szCs w:val="24"/>
        </w:rPr>
      </w:pPr>
      <w:r>
        <w:rPr>
          <w:rFonts w:hint="eastAsia" w:ascii="仿宋_GB2312" w:hAnsi="仿宋_GB2312" w:eastAsia="仿宋_GB2312" w:cs="仿宋_GB2312"/>
          <w:b/>
          <w:sz w:val="24"/>
          <w:szCs w:val="24"/>
        </w:rPr>
        <w:t>注：请各竞买人仔细阅读本竞买注意事项，遵守规则并履行相关义务。</w:t>
      </w:r>
    </w:p>
    <w:p>
      <w:pPr>
        <w:spacing w:line="360" w:lineRule="auto"/>
        <w:ind w:left="420" w:leftChars="200"/>
        <w:rPr>
          <w:rFonts w:ascii="仿宋_GB2312" w:hAnsi="仿宋_GB2312" w:eastAsia="仿宋_GB2312" w:cs="仿宋_GB2312"/>
          <w:b/>
          <w:sz w:val="24"/>
          <w:szCs w:val="24"/>
        </w:rPr>
      </w:pPr>
      <w:r>
        <w:rPr>
          <w:rFonts w:hint="eastAsia" w:ascii="仿宋_GB2312" w:hAnsi="仿宋_GB2312" w:eastAsia="仿宋_GB2312" w:cs="仿宋_GB2312"/>
          <w:b/>
          <w:sz w:val="24"/>
          <w:szCs w:val="24"/>
        </w:rPr>
        <w:t>竞买人理解并认可上述内容后请签字：</w:t>
      </w:r>
    </w:p>
    <w:p>
      <w:pPr>
        <w:spacing w:line="360" w:lineRule="auto"/>
        <w:jc w:val="both"/>
        <w:rPr>
          <w:rFonts w:ascii="仿宋_GB2312" w:hAnsi="仿宋_GB2312" w:eastAsia="仿宋_GB2312" w:cs="仿宋_GB2312"/>
          <w:sz w:val="24"/>
          <w:szCs w:val="24"/>
        </w:rPr>
      </w:pPr>
    </w:p>
    <w:p>
      <w:pPr>
        <w:spacing w:line="360" w:lineRule="auto"/>
        <w:jc w:val="right"/>
        <w:rPr>
          <w:rFonts w:ascii="仿宋_GB2312" w:hAnsi="仿宋_GB2312" w:eastAsia="仿宋_GB2312" w:cs="仿宋_GB2312"/>
          <w:sz w:val="24"/>
          <w:szCs w:val="24"/>
        </w:rPr>
      </w:pPr>
      <w:r>
        <w:rPr>
          <w:rFonts w:hint="eastAsia" w:ascii="仿宋_GB2312" w:hAnsi="仿宋_GB2312" w:eastAsia="仿宋_GB2312" w:cs="仿宋_GB2312"/>
          <w:sz w:val="24"/>
          <w:szCs w:val="24"/>
        </w:rPr>
        <w:t>年     月     日</w:t>
      </w: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p>
  <w:p>
    <w:pPr>
      <w:pStyle w:val="3"/>
      <w:jc w:val="right"/>
    </w:pPr>
  </w:p>
  <w:p>
    <w:pPr>
      <w:pStyle w:val="3"/>
      <w:jc w:val="center"/>
      <w:rPr>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7B35B2"/>
    <w:multiLevelType w:val="singleLevel"/>
    <w:tmpl w:val="087B35B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zMGQ1OWY4ZmNjODk1MWFiNDM5MjA1ZjYyYjdhZTAifQ=="/>
  </w:docVars>
  <w:rsids>
    <w:rsidRoot w:val="00597DC5"/>
    <w:rsid w:val="001520C6"/>
    <w:rsid w:val="00254BB8"/>
    <w:rsid w:val="002947A6"/>
    <w:rsid w:val="003E7941"/>
    <w:rsid w:val="00453A0B"/>
    <w:rsid w:val="004E5A49"/>
    <w:rsid w:val="00597DC5"/>
    <w:rsid w:val="00617FE4"/>
    <w:rsid w:val="007917C5"/>
    <w:rsid w:val="007B68D0"/>
    <w:rsid w:val="008C5567"/>
    <w:rsid w:val="009F4466"/>
    <w:rsid w:val="00A21319"/>
    <w:rsid w:val="00B23A31"/>
    <w:rsid w:val="00B939C8"/>
    <w:rsid w:val="00BC42FB"/>
    <w:rsid w:val="00C8546D"/>
    <w:rsid w:val="00D33E03"/>
    <w:rsid w:val="00EE3505"/>
    <w:rsid w:val="00F61B92"/>
    <w:rsid w:val="00F8498B"/>
    <w:rsid w:val="08630D41"/>
    <w:rsid w:val="0A1B0A3A"/>
    <w:rsid w:val="0A947D9E"/>
    <w:rsid w:val="0D7116ED"/>
    <w:rsid w:val="0FCC70AF"/>
    <w:rsid w:val="12ED4515"/>
    <w:rsid w:val="1CE016A0"/>
    <w:rsid w:val="2023678F"/>
    <w:rsid w:val="202E28ED"/>
    <w:rsid w:val="236B21E8"/>
    <w:rsid w:val="253B6629"/>
    <w:rsid w:val="2D603DBB"/>
    <w:rsid w:val="303E23E6"/>
    <w:rsid w:val="338D11C0"/>
    <w:rsid w:val="35001445"/>
    <w:rsid w:val="370A21AC"/>
    <w:rsid w:val="37C12CFB"/>
    <w:rsid w:val="38DA3BBB"/>
    <w:rsid w:val="3B906B18"/>
    <w:rsid w:val="3FBC20CE"/>
    <w:rsid w:val="41824E23"/>
    <w:rsid w:val="43092B0A"/>
    <w:rsid w:val="458C688C"/>
    <w:rsid w:val="45D948CB"/>
    <w:rsid w:val="472A41FF"/>
    <w:rsid w:val="473024EC"/>
    <w:rsid w:val="48CE2747"/>
    <w:rsid w:val="499A72FA"/>
    <w:rsid w:val="4A0B0D68"/>
    <w:rsid w:val="4DF81ADC"/>
    <w:rsid w:val="4E4F18D6"/>
    <w:rsid w:val="4E7B430D"/>
    <w:rsid w:val="4F4F2935"/>
    <w:rsid w:val="60BB198C"/>
    <w:rsid w:val="61E66B77"/>
    <w:rsid w:val="64DE2339"/>
    <w:rsid w:val="65695CEE"/>
    <w:rsid w:val="68C576A9"/>
    <w:rsid w:val="69097AFC"/>
    <w:rsid w:val="6EB97AF1"/>
    <w:rsid w:val="717C7162"/>
    <w:rsid w:val="72E27499"/>
    <w:rsid w:val="74D2138E"/>
    <w:rsid w:val="74E22119"/>
    <w:rsid w:val="751002ED"/>
    <w:rsid w:val="7B655901"/>
    <w:rsid w:val="7EF900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rPr>
  </w:style>
  <w:style w:type="paragraph" w:styleId="9">
    <w:name w:val="List Paragraph"/>
    <w:basedOn w:val="1"/>
    <w:qFormat/>
    <w:uiPriority w:val="34"/>
    <w:pPr>
      <w:ind w:firstLine="420" w:firstLineChars="200"/>
    </w:pPr>
  </w:style>
  <w:style w:type="paragraph" w:customStyle="1" w:styleId="10">
    <w:name w:val="agree-detail-title"/>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2420</Words>
  <Characters>2444</Characters>
  <Lines>8</Lines>
  <Paragraphs>2</Paragraphs>
  <TotalTime>2</TotalTime>
  <ScaleCrop>false</ScaleCrop>
  <LinksUpToDate>false</LinksUpToDate>
  <CharactersWithSpaces>2455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2017-08-14T00:54:00Z</dcterms:created>
  <dc:creator>NTKO</dc:creator>
  <cp:lastModifiedBy>Miss林</cp:lastModifiedBy>
  <cp:lastPrinted>2018-08-15T05:55:00Z</cp:lastPrinted>
  <dcterms:modified xsi:type="dcterms:W3CDTF">2022-11-29T00:24:16Z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199100C322754B07BCB533042A98C8CB</vt:lpwstr>
  </property>
</Properties>
</file>