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b/>
          <w:sz w:val="44"/>
          <w:szCs w:val="44"/>
        </w:rPr>
      </w:pPr>
      <w:r>
        <w:rPr>
          <w:rFonts w:hint="eastAsia" w:ascii="宋体" w:hAnsi="宋体"/>
          <w:b/>
          <w:sz w:val="44"/>
          <w:szCs w:val="44"/>
        </w:rPr>
        <w:t>竞 买 须 知</w:t>
      </w:r>
    </w:p>
    <w:p>
      <w:pPr>
        <w:spacing w:line="360" w:lineRule="auto"/>
        <w:ind w:firstLine="482" w:firstLineChars="200"/>
        <w:rPr>
          <w:rFonts w:hint="eastAsia" w:ascii="宋体" w:hAnsi="宋体"/>
          <w:b/>
          <w:sz w:val="24"/>
        </w:rPr>
      </w:pPr>
      <w:r>
        <w:rPr>
          <w:rFonts w:hint="eastAsia" w:ascii="宋体" w:hAnsi="宋体"/>
          <w:b/>
          <w:sz w:val="24"/>
        </w:rPr>
        <w:t>一、拍卖时间、地点</w:t>
      </w:r>
    </w:p>
    <w:p>
      <w:pPr>
        <w:spacing w:line="360" w:lineRule="auto"/>
        <w:ind w:firstLine="482" w:firstLineChars="200"/>
        <w:rPr>
          <w:rFonts w:hint="eastAsia" w:ascii="宋体" w:hAnsi="宋体" w:eastAsia="宋体"/>
          <w:color w:val="000000" w:themeColor="text1"/>
          <w:sz w:val="24"/>
          <w:lang w:val="en-US" w:eastAsia="zh-CN"/>
          <w14:textFill>
            <w14:solidFill>
              <w14:schemeClr w14:val="tx1"/>
            </w14:solidFill>
          </w14:textFill>
        </w:rPr>
      </w:pPr>
      <w:r>
        <w:rPr>
          <w:rFonts w:hint="eastAsia" w:ascii="宋体" w:hAnsi="宋体"/>
          <w:b/>
          <w:sz w:val="24"/>
        </w:rPr>
        <w:t>拍卖时间:</w:t>
      </w:r>
      <w:r>
        <w:rPr>
          <w:rFonts w:hint="eastAsia" w:ascii="宋体" w:hAnsi="宋体"/>
          <w:sz w:val="24"/>
        </w:rPr>
        <w:t xml:space="preserve"> </w:t>
      </w:r>
      <w:r>
        <w:rPr>
          <w:rFonts w:hint="eastAsia" w:ascii="宋体" w:hAnsi="宋体"/>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20</w:t>
      </w:r>
      <w:r>
        <w:rPr>
          <w:rFonts w:hint="eastAsia" w:ascii="宋体" w:hAnsi="宋体"/>
          <w:color w:val="000000" w:themeColor="text1"/>
          <w:sz w:val="24"/>
          <w:lang w:val="en-US" w:eastAsia="zh-CN"/>
          <w14:textFill>
            <w14:solidFill>
              <w14:schemeClr w14:val="tx1"/>
            </w14:solidFill>
          </w14:textFill>
        </w:rPr>
        <w:t>24</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05</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28</w:t>
      </w:r>
      <w:r>
        <w:rPr>
          <w:rFonts w:hint="eastAsia" w:ascii="宋体" w:hAnsi="宋体"/>
          <w:color w:val="000000" w:themeColor="text1"/>
          <w:sz w:val="24"/>
          <w14:textFill>
            <w14:solidFill>
              <w14:schemeClr w14:val="tx1"/>
            </w14:solidFill>
          </w14:textFill>
        </w:rPr>
        <w:t>日</w:t>
      </w:r>
      <w:r>
        <w:rPr>
          <w:rFonts w:hint="eastAsia" w:ascii="宋体" w:hAnsi="宋体"/>
          <w:color w:val="000000" w:themeColor="text1"/>
          <w:sz w:val="24"/>
          <w:lang w:eastAsia="zh-CN"/>
          <w14:textFill>
            <w14:solidFill>
              <w14:schemeClr w14:val="tx1"/>
            </w14:solidFill>
          </w14:textFill>
        </w:rPr>
        <w:t>上午</w:t>
      </w:r>
      <w:r>
        <w:rPr>
          <w:rFonts w:hint="eastAsia" w:ascii="宋体" w:hAnsi="宋体"/>
          <w:color w:val="000000" w:themeColor="text1"/>
          <w:sz w:val="24"/>
          <w:lang w:val="en-US" w:eastAsia="zh-CN"/>
          <w14:textFill>
            <w14:solidFill>
              <w14:schemeClr w14:val="tx1"/>
            </w14:solidFill>
          </w14:textFill>
        </w:rPr>
        <w:t>09</w:t>
      </w:r>
      <w:r>
        <w:rPr>
          <w:rFonts w:hint="eastAsia" w:ascii="宋体" w:hAnsi="宋体"/>
          <w:color w:val="000000" w:themeColor="text1"/>
          <w:sz w:val="24"/>
          <w14:textFill>
            <w14:solidFill>
              <w14:schemeClr w14:val="tx1"/>
            </w14:solidFill>
          </w14:textFill>
        </w:rPr>
        <w:t>时</w:t>
      </w:r>
    </w:p>
    <w:p>
      <w:pPr>
        <w:spacing w:line="360" w:lineRule="auto"/>
        <w:ind w:firstLine="482" w:firstLineChars="200"/>
        <w:rPr>
          <w:rFonts w:hint="default" w:ascii="宋体" w:hAnsi="宋体"/>
          <w:sz w:val="24"/>
          <w:lang w:val="en-US"/>
        </w:rPr>
      </w:pPr>
      <w:r>
        <w:rPr>
          <w:rFonts w:hint="eastAsia" w:ascii="宋体" w:hAnsi="宋体"/>
          <w:b/>
          <w:sz w:val="24"/>
        </w:rPr>
        <w:t>拍卖地点：</w:t>
      </w:r>
      <w:r>
        <w:rPr>
          <w:rFonts w:hint="eastAsia"/>
          <w:sz w:val="24"/>
          <w:lang w:eastAsia="zh-CN"/>
        </w:rPr>
        <w:t>洪力自助公益拍卖平台</w:t>
      </w:r>
      <w:r>
        <w:rPr>
          <w:rFonts w:hint="eastAsia"/>
          <w:sz w:val="24"/>
          <w:lang w:val="en-US" w:eastAsia="zh-CN"/>
        </w:rPr>
        <w:t>(https://www.honglipai.net/)</w:t>
      </w:r>
    </w:p>
    <w:p>
      <w:pPr>
        <w:tabs>
          <w:tab w:val="left" w:pos="3194"/>
        </w:tabs>
        <w:spacing w:line="360" w:lineRule="auto"/>
        <w:ind w:right="525" w:firstLine="482" w:firstLineChars="200"/>
        <w:rPr>
          <w:rFonts w:hint="eastAsia" w:ascii="宋体" w:hAnsi="宋体"/>
          <w:b/>
          <w:sz w:val="24"/>
        </w:rPr>
      </w:pPr>
      <w:r>
        <w:rPr>
          <w:rFonts w:hint="eastAsia" w:ascii="宋体" w:hAnsi="宋体"/>
          <w:b/>
          <w:sz w:val="24"/>
        </w:rPr>
        <w:t>二、拍卖方式</w:t>
      </w:r>
      <w:r>
        <w:rPr>
          <w:rFonts w:ascii="宋体" w:hAnsi="宋体"/>
          <w:b/>
          <w:sz w:val="24"/>
        </w:rPr>
        <w:tab/>
      </w:r>
    </w:p>
    <w:p>
      <w:pPr>
        <w:spacing w:line="360" w:lineRule="auto"/>
        <w:ind w:right="525" w:firstLine="480" w:firstLineChars="200"/>
        <w:rPr>
          <w:rFonts w:hint="eastAsia" w:ascii="宋体" w:hAnsi="宋体"/>
          <w:b/>
          <w:sz w:val="24"/>
        </w:rPr>
      </w:pPr>
      <w:r>
        <w:rPr>
          <w:rFonts w:hint="eastAsia" w:ascii="宋体" w:hAnsi="宋体"/>
          <w:sz w:val="24"/>
        </w:rPr>
        <w:t>本次拍卖采取</w:t>
      </w:r>
      <w:r>
        <w:rPr>
          <w:rFonts w:hint="eastAsia" w:ascii="宋体" w:hAnsi="宋体"/>
          <w:sz w:val="24"/>
          <w:lang w:eastAsia="zh-CN"/>
        </w:rPr>
        <w:t>网络与现场同步拍的</w:t>
      </w:r>
      <w:r>
        <w:rPr>
          <w:rFonts w:hint="eastAsia" w:ascii="宋体" w:hAnsi="宋体"/>
          <w:sz w:val="24"/>
        </w:rPr>
        <w:t>拍卖方式。</w:t>
      </w:r>
    </w:p>
    <w:p>
      <w:pPr>
        <w:numPr>
          <w:ilvl w:val="0"/>
          <w:numId w:val="1"/>
        </w:numPr>
        <w:spacing w:line="360" w:lineRule="auto"/>
        <w:ind w:right="525" w:firstLine="482" w:firstLineChars="200"/>
        <w:rPr>
          <w:rFonts w:hint="eastAsia" w:ascii="宋体" w:hAnsi="宋体"/>
          <w:b/>
          <w:sz w:val="24"/>
        </w:rPr>
      </w:pPr>
      <w:r>
        <w:rPr>
          <w:rFonts w:hint="eastAsia" w:ascii="宋体" w:hAnsi="宋体"/>
          <w:b/>
          <w:sz w:val="24"/>
        </w:rPr>
        <w:t>参拍说明</w:t>
      </w:r>
    </w:p>
    <w:p>
      <w:pPr>
        <w:numPr>
          <w:ilvl w:val="0"/>
          <w:numId w:val="0"/>
        </w:numPr>
        <w:spacing w:line="360" w:lineRule="auto"/>
        <w:ind w:right="525" w:rightChars="0" w:firstLine="482" w:firstLineChars="200"/>
        <w:rPr>
          <w:rFonts w:hint="eastAsia" w:ascii="宋体" w:hAnsi="宋体" w:eastAsia="宋体"/>
          <w:b/>
          <w:sz w:val="24"/>
          <w:lang w:eastAsia="zh-CN"/>
        </w:rPr>
      </w:pPr>
      <w:r>
        <w:rPr>
          <w:rFonts w:hint="eastAsia" w:ascii="宋体" w:hAnsi="宋体"/>
          <w:b/>
          <w:sz w:val="24"/>
          <w:lang w:eastAsia="zh-CN"/>
        </w:rPr>
        <w:t>现场报名</w:t>
      </w:r>
    </w:p>
    <w:p>
      <w:pPr>
        <w:spacing w:line="360" w:lineRule="auto"/>
        <w:ind w:right="525" w:firstLine="482" w:firstLineChars="200"/>
        <w:rPr>
          <w:rFonts w:hint="eastAsia" w:ascii="宋体" w:hAnsi="宋体"/>
          <w:b/>
          <w:sz w:val="24"/>
        </w:rPr>
      </w:pPr>
      <w:r>
        <w:rPr>
          <w:rFonts w:hint="eastAsia" w:ascii="宋体" w:hAnsi="宋体"/>
          <w:b/>
          <w:sz w:val="24"/>
        </w:rPr>
        <w:t>1、竞买人资格及报名时间</w:t>
      </w:r>
    </w:p>
    <w:p>
      <w:pPr>
        <w:spacing w:line="360" w:lineRule="auto"/>
        <w:ind w:firstLine="480" w:firstLineChars="200"/>
        <w:rPr>
          <w:rFonts w:hint="default" w:ascii="宋体" w:hAnsi="宋体" w:eastAsia="宋体"/>
          <w:sz w:val="24"/>
          <w:lang w:val="en-US" w:eastAsia="zh-CN"/>
        </w:rPr>
      </w:pPr>
      <w:r>
        <w:rPr>
          <w:rFonts w:hint="eastAsia" w:ascii="宋体" w:hAnsi="宋体"/>
          <w:sz w:val="24"/>
        </w:rPr>
        <w:t>有意竞买者(</w:t>
      </w:r>
      <w:r>
        <w:rPr>
          <w:rFonts w:hint="eastAsia"/>
          <w:sz w:val="24"/>
        </w:rPr>
        <w:t>中华人民共和国境内外的法人、自然人和其他组织均可参加竞买</w:t>
      </w:r>
      <w:r>
        <w:rPr>
          <w:rFonts w:hint="eastAsia" w:ascii="宋体" w:hAnsi="宋体"/>
          <w:sz w:val="24"/>
        </w:rPr>
        <w:t>)携有效证件，可于公告之日起至20</w:t>
      </w:r>
      <w:r>
        <w:rPr>
          <w:rFonts w:hint="eastAsia" w:ascii="宋体" w:hAnsi="宋体"/>
          <w:sz w:val="24"/>
          <w:lang w:val="en-US" w:eastAsia="zh-CN"/>
        </w:rPr>
        <w:t>24</w:t>
      </w:r>
      <w:r>
        <w:rPr>
          <w:rFonts w:hint="eastAsia" w:ascii="宋体" w:hAnsi="宋体"/>
          <w:sz w:val="24"/>
        </w:rPr>
        <w:t>年</w:t>
      </w:r>
      <w:r>
        <w:rPr>
          <w:rFonts w:hint="eastAsia" w:ascii="宋体" w:hAnsi="宋体"/>
          <w:sz w:val="24"/>
          <w:lang w:val="en-US" w:eastAsia="zh-CN"/>
        </w:rPr>
        <w:t>5</w:t>
      </w:r>
      <w:r>
        <w:rPr>
          <w:rFonts w:hint="eastAsia" w:ascii="宋体" w:hAnsi="宋体"/>
          <w:sz w:val="24"/>
        </w:rPr>
        <w:t>月</w:t>
      </w:r>
      <w:r>
        <w:rPr>
          <w:rFonts w:hint="eastAsia" w:ascii="宋体" w:hAnsi="宋体"/>
          <w:sz w:val="24"/>
          <w:lang w:val="en-US" w:eastAsia="zh-CN"/>
        </w:rPr>
        <w:t>27</w:t>
      </w:r>
      <w:r>
        <w:rPr>
          <w:rFonts w:hint="eastAsia" w:ascii="宋体" w:hAnsi="宋体"/>
          <w:sz w:val="24"/>
        </w:rPr>
        <w:t>日</w:t>
      </w:r>
      <w:r>
        <w:rPr>
          <w:rFonts w:hint="eastAsia" w:ascii="宋体" w:hAnsi="宋体"/>
          <w:sz w:val="24"/>
          <w:lang w:val="en-US" w:eastAsia="zh-CN"/>
        </w:rPr>
        <w:t>17</w:t>
      </w:r>
      <w:r>
        <w:rPr>
          <w:rFonts w:hint="eastAsia" w:ascii="宋体" w:hAnsi="宋体"/>
          <w:sz w:val="24"/>
        </w:rPr>
        <w:t>时</w:t>
      </w:r>
      <w:r>
        <w:rPr>
          <w:rFonts w:hint="eastAsia" w:ascii="宋体" w:hAnsi="宋体"/>
          <w:sz w:val="24"/>
          <w:lang w:val="en-US" w:eastAsia="zh-CN"/>
        </w:rPr>
        <w:t>30分前</w:t>
      </w:r>
      <w:r>
        <w:rPr>
          <w:rFonts w:hint="eastAsia" w:ascii="宋体" w:hAnsi="宋体"/>
          <w:sz w:val="24"/>
        </w:rPr>
        <w:t>，到</w:t>
      </w:r>
      <w:r>
        <w:rPr>
          <w:rFonts w:hint="eastAsia" w:ascii="宋体" w:hAnsi="宋体"/>
          <w:sz w:val="24"/>
          <w:lang w:val="en-US" w:eastAsia="zh-CN"/>
        </w:rPr>
        <w:t>锡林郭勒盟锦元惠丰拍卖招标有限公司</w:t>
      </w:r>
      <w:r>
        <w:rPr>
          <w:rFonts w:hint="eastAsia" w:ascii="宋体" w:hAnsi="宋体"/>
          <w:sz w:val="24"/>
        </w:rPr>
        <w:t>提交书面申请，办理竞买手续均可报名参加</w:t>
      </w:r>
      <w:r>
        <w:rPr>
          <w:rFonts w:hint="eastAsia" w:ascii="宋体" w:hAnsi="宋体"/>
          <w:sz w:val="24"/>
          <w:lang w:val="en-US" w:eastAsia="zh-CN"/>
        </w:rPr>
        <w:t>。</w:t>
      </w:r>
    </w:p>
    <w:p>
      <w:pPr>
        <w:spacing w:line="360" w:lineRule="auto"/>
        <w:ind w:firstLine="482" w:firstLineChars="200"/>
        <w:rPr>
          <w:rFonts w:hint="eastAsia" w:ascii="宋体" w:hAnsi="宋体"/>
          <w:b/>
          <w:sz w:val="24"/>
        </w:rPr>
      </w:pPr>
      <w:r>
        <w:rPr>
          <w:rFonts w:hint="eastAsia" w:ascii="宋体" w:hAnsi="宋体"/>
          <w:b/>
          <w:sz w:val="24"/>
        </w:rPr>
        <w:t>2、报名所需材料</w:t>
      </w:r>
    </w:p>
    <w:p>
      <w:pPr>
        <w:spacing w:line="360" w:lineRule="auto"/>
        <w:ind w:firstLine="480" w:firstLineChars="200"/>
        <w:rPr>
          <w:rFonts w:hint="eastAsia" w:ascii="宋体" w:hAnsi="宋体"/>
          <w:sz w:val="24"/>
        </w:rPr>
      </w:pPr>
      <w:r>
        <w:rPr>
          <w:rFonts w:hint="eastAsia" w:ascii="宋体" w:hAnsi="宋体"/>
          <w:sz w:val="24"/>
        </w:rPr>
        <w:t>法人申请所需材料：</w:t>
      </w:r>
    </w:p>
    <w:p>
      <w:pPr>
        <w:spacing w:line="360" w:lineRule="auto"/>
        <w:ind w:firstLine="480" w:firstLineChars="200"/>
        <w:rPr>
          <w:rFonts w:hint="eastAsia" w:ascii="宋体" w:hAnsi="宋体"/>
          <w:sz w:val="24"/>
        </w:rPr>
      </w:pPr>
      <w:r>
        <w:rPr>
          <w:rFonts w:hint="eastAsia" w:ascii="宋体" w:hAnsi="宋体"/>
          <w:sz w:val="24"/>
        </w:rPr>
        <w:t>（1）、企业营业执照副本原件及复印件；</w:t>
      </w:r>
    </w:p>
    <w:p>
      <w:pPr>
        <w:spacing w:line="360" w:lineRule="auto"/>
        <w:ind w:firstLine="480" w:firstLineChars="200"/>
        <w:rPr>
          <w:rFonts w:hint="eastAsia" w:ascii="宋体" w:hAnsi="宋体"/>
          <w:sz w:val="24"/>
        </w:rPr>
      </w:pPr>
      <w:r>
        <w:rPr>
          <w:rFonts w:hint="eastAsia" w:ascii="宋体" w:hAnsi="宋体"/>
          <w:sz w:val="24"/>
        </w:rPr>
        <w:t xml:space="preserve">（2）、法定代表人身份证原件及复印件或授权委托书、委托代理人身份证原件及复印件；                              </w:t>
      </w:r>
    </w:p>
    <w:p>
      <w:pPr>
        <w:spacing w:line="360" w:lineRule="auto"/>
        <w:ind w:firstLine="480" w:firstLineChars="200"/>
        <w:rPr>
          <w:rFonts w:hint="eastAsia" w:ascii="宋体" w:hAnsi="宋体"/>
          <w:sz w:val="24"/>
        </w:rPr>
      </w:pPr>
      <w:r>
        <w:rPr>
          <w:rFonts w:hint="eastAsia" w:ascii="宋体" w:hAnsi="宋体"/>
          <w:sz w:val="24"/>
        </w:rPr>
        <w:t>（3）、缴纳竞买保证金凭据；</w:t>
      </w:r>
    </w:p>
    <w:p>
      <w:pPr>
        <w:spacing w:line="360" w:lineRule="auto"/>
        <w:ind w:firstLine="480" w:firstLineChars="200"/>
        <w:rPr>
          <w:rFonts w:hint="eastAsia" w:ascii="宋体" w:hAnsi="宋体"/>
          <w:sz w:val="24"/>
        </w:rPr>
      </w:pPr>
      <w:r>
        <w:rPr>
          <w:rFonts w:hint="eastAsia" w:ascii="宋体" w:hAnsi="宋体"/>
          <w:sz w:val="24"/>
        </w:rPr>
        <w:t>（4）、竞买协议中所需的其他资料。</w:t>
      </w:r>
    </w:p>
    <w:p>
      <w:pPr>
        <w:spacing w:line="360" w:lineRule="auto"/>
        <w:ind w:firstLine="480" w:firstLineChars="200"/>
        <w:rPr>
          <w:rFonts w:hint="eastAsia" w:ascii="宋体" w:hAnsi="宋体"/>
          <w:sz w:val="24"/>
        </w:rPr>
      </w:pPr>
      <w:r>
        <w:rPr>
          <w:rFonts w:hint="eastAsia" w:ascii="宋体" w:hAnsi="宋体"/>
          <w:sz w:val="24"/>
        </w:rPr>
        <w:t>自然人申请所需材料：</w:t>
      </w:r>
    </w:p>
    <w:p>
      <w:pPr>
        <w:spacing w:line="360" w:lineRule="auto"/>
        <w:ind w:firstLine="480" w:firstLineChars="200"/>
        <w:rPr>
          <w:rFonts w:hint="eastAsia" w:ascii="宋体" w:hAnsi="宋体"/>
          <w:sz w:val="24"/>
        </w:rPr>
      </w:pPr>
      <w:r>
        <w:rPr>
          <w:rFonts w:hint="eastAsia" w:ascii="宋体" w:hAnsi="宋体"/>
          <w:sz w:val="24"/>
        </w:rPr>
        <w:t>（1）、自然人身份证原件及复印件；</w:t>
      </w:r>
    </w:p>
    <w:p>
      <w:pPr>
        <w:spacing w:line="360" w:lineRule="auto"/>
        <w:ind w:firstLine="480" w:firstLineChars="200"/>
        <w:rPr>
          <w:rFonts w:hint="eastAsia" w:ascii="宋体" w:hAnsi="宋体"/>
          <w:sz w:val="24"/>
        </w:rPr>
      </w:pPr>
      <w:r>
        <w:rPr>
          <w:rFonts w:hint="eastAsia" w:ascii="宋体" w:hAnsi="宋体"/>
          <w:sz w:val="24"/>
        </w:rPr>
        <w:t>（2）、缴纳竞买保证金凭据；</w:t>
      </w:r>
    </w:p>
    <w:p>
      <w:pPr>
        <w:spacing w:line="360" w:lineRule="auto"/>
        <w:ind w:firstLine="480" w:firstLineChars="200"/>
        <w:rPr>
          <w:rFonts w:hint="eastAsia" w:ascii="宋体" w:hAnsi="宋体"/>
          <w:sz w:val="24"/>
        </w:rPr>
      </w:pPr>
      <w:r>
        <w:rPr>
          <w:rFonts w:hint="eastAsia" w:ascii="宋体" w:hAnsi="宋体"/>
          <w:sz w:val="24"/>
        </w:rPr>
        <w:t>（3）、竞买协议中所需的其他资料。</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b/>
          <w:color w:val="auto"/>
          <w:sz w:val="24"/>
        </w:rPr>
      </w:pPr>
      <w:r>
        <w:rPr>
          <w:rFonts w:hint="eastAsia" w:ascii="宋体" w:hAnsi="宋体"/>
          <w:color w:val="auto"/>
          <w:sz w:val="24"/>
        </w:rPr>
        <w:t>其他组织申请</w:t>
      </w:r>
      <w:r>
        <w:rPr>
          <w:rFonts w:hint="eastAsia" w:ascii="宋体" w:hAnsi="宋体"/>
          <w:color w:val="auto"/>
          <w:sz w:val="24"/>
          <w:lang w:eastAsia="zh-CN"/>
        </w:rPr>
        <w:t>所需材料</w:t>
      </w:r>
      <w:r>
        <w:rPr>
          <w:rFonts w:hint="eastAsia" w:ascii="宋体" w:hAnsi="宋体"/>
          <w:color w:val="auto"/>
          <w:sz w:val="24"/>
        </w:rPr>
        <w:t>：</w:t>
      </w:r>
      <w:bookmarkStart w:id="0" w:name="_Toc167525504"/>
      <w:bookmarkStart w:id="1" w:name="_Toc167525444"/>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b/>
          <w:color w:val="auto"/>
          <w:sz w:val="24"/>
        </w:rPr>
      </w:pPr>
      <w:r>
        <w:rPr>
          <w:rFonts w:hint="eastAsia" w:ascii="宋体" w:hAnsi="宋体"/>
          <w:color w:val="auto"/>
          <w:sz w:val="24"/>
        </w:rPr>
        <w:t>（1）</w:t>
      </w:r>
      <w:bookmarkEnd w:id="0"/>
      <w:bookmarkEnd w:id="1"/>
      <w:r>
        <w:rPr>
          <w:rFonts w:hint="eastAsia" w:ascii="宋体" w:hAnsi="宋体"/>
          <w:color w:val="auto"/>
          <w:sz w:val="24"/>
          <w:lang w:eastAsia="zh-CN"/>
        </w:rPr>
        <w:t>、</w:t>
      </w:r>
      <w:r>
        <w:rPr>
          <w:rFonts w:hint="eastAsia" w:ascii="宋体" w:hAnsi="宋体"/>
          <w:color w:val="auto"/>
          <w:sz w:val="24"/>
        </w:rPr>
        <w:t>《竞买申请书》及《竞买登记表》；</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b/>
          <w:color w:val="auto"/>
          <w:sz w:val="24"/>
        </w:rPr>
      </w:pPr>
      <w:r>
        <w:rPr>
          <w:rFonts w:hint="eastAsia" w:ascii="宋体" w:hAnsi="宋体"/>
          <w:color w:val="auto"/>
          <w:sz w:val="24"/>
        </w:rPr>
        <w:t>（2）</w:t>
      </w:r>
      <w:r>
        <w:rPr>
          <w:rFonts w:hint="eastAsia" w:ascii="宋体" w:hAnsi="宋体"/>
          <w:color w:val="auto"/>
          <w:sz w:val="24"/>
          <w:lang w:eastAsia="zh-CN"/>
        </w:rPr>
        <w:t>、</w:t>
      </w:r>
      <w:r>
        <w:rPr>
          <w:rFonts w:hint="eastAsia" w:ascii="宋体" w:hAnsi="宋体"/>
          <w:color w:val="auto"/>
          <w:sz w:val="24"/>
        </w:rPr>
        <w:t>表明该组织合法存在的文件或有效证明；</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b/>
          <w:color w:val="auto"/>
          <w:sz w:val="24"/>
        </w:rPr>
      </w:pPr>
      <w:r>
        <w:rPr>
          <w:rFonts w:hint="eastAsia" w:ascii="宋体" w:hAnsi="宋体"/>
          <w:color w:val="auto"/>
          <w:sz w:val="24"/>
        </w:rPr>
        <w:t>（3）</w:t>
      </w:r>
      <w:r>
        <w:rPr>
          <w:rFonts w:hint="eastAsia" w:ascii="宋体" w:hAnsi="宋体"/>
          <w:color w:val="auto"/>
          <w:sz w:val="24"/>
          <w:lang w:eastAsia="zh-CN"/>
        </w:rPr>
        <w:t>、</w:t>
      </w:r>
      <w:r>
        <w:rPr>
          <w:rFonts w:hint="eastAsia" w:ascii="宋体" w:hAnsi="宋体"/>
          <w:color w:val="auto"/>
          <w:sz w:val="24"/>
        </w:rPr>
        <w:t>表明该组织负责人的有效身份证明文件；</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b/>
          <w:color w:val="auto"/>
          <w:sz w:val="24"/>
        </w:rPr>
      </w:pPr>
      <w:r>
        <w:rPr>
          <w:rFonts w:hint="eastAsia" w:ascii="宋体" w:hAnsi="宋体"/>
          <w:color w:val="auto"/>
          <w:sz w:val="24"/>
        </w:rPr>
        <w:t>（4）</w:t>
      </w:r>
      <w:r>
        <w:rPr>
          <w:rFonts w:hint="eastAsia" w:ascii="宋体" w:hAnsi="宋体"/>
          <w:color w:val="auto"/>
          <w:sz w:val="24"/>
          <w:lang w:eastAsia="zh-CN"/>
        </w:rPr>
        <w:t>、</w:t>
      </w:r>
      <w:r>
        <w:rPr>
          <w:rFonts w:hint="eastAsia" w:ascii="宋体" w:hAnsi="宋体"/>
          <w:color w:val="auto"/>
          <w:sz w:val="24"/>
        </w:rPr>
        <w:t>申请人委托他人办理的，应提交授权委托书及委托代理人的有效身份证明文件；</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b/>
          <w:color w:val="auto"/>
          <w:sz w:val="24"/>
          <w:lang w:eastAsia="zh-CN"/>
        </w:rPr>
      </w:pPr>
      <w:r>
        <w:rPr>
          <w:rFonts w:hint="eastAsia" w:ascii="宋体" w:hAnsi="宋体"/>
          <w:color w:val="auto"/>
          <w:sz w:val="24"/>
        </w:rPr>
        <w:t>（5）</w:t>
      </w:r>
      <w:r>
        <w:rPr>
          <w:rFonts w:hint="eastAsia" w:ascii="宋体" w:hAnsi="宋体"/>
          <w:color w:val="auto"/>
          <w:sz w:val="24"/>
          <w:lang w:eastAsia="zh-CN"/>
        </w:rPr>
        <w:t>、</w:t>
      </w:r>
      <w:r>
        <w:rPr>
          <w:rFonts w:hint="eastAsia" w:ascii="宋体" w:hAnsi="宋体"/>
          <w:color w:val="auto"/>
          <w:sz w:val="24"/>
        </w:rPr>
        <w:t>缴纳竞买保证金凭据</w:t>
      </w:r>
      <w:r>
        <w:rPr>
          <w:rFonts w:hint="eastAsia" w:ascii="宋体" w:hAnsi="宋体"/>
          <w:color w:val="auto"/>
          <w:sz w:val="24"/>
          <w:lang w:eastAsia="zh-CN"/>
        </w:rPr>
        <w:t>；</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6</w:t>
      </w:r>
      <w:r>
        <w:rPr>
          <w:rFonts w:hint="eastAsia" w:ascii="宋体" w:hAnsi="宋体"/>
          <w:color w:val="auto"/>
          <w:sz w:val="24"/>
        </w:rPr>
        <w:t>）、竞买须知中所需的其他资料；</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b/>
          <w:color w:val="auto"/>
          <w:sz w:val="24"/>
        </w:rPr>
      </w:pPr>
      <w:r>
        <w:rPr>
          <w:rFonts w:hint="eastAsia" w:ascii="宋体" w:hAnsi="宋体"/>
          <w:color w:val="auto"/>
          <w:sz w:val="24"/>
          <w:lang w:val="en-US" w:eastAsia="zh-CN"/>
        </w:rPr>
        <w:t xml:space="preserve"> </w:t>
      </w:r>
      <w:r>
        <w:rPr>
          <w:rFonts w:hint="eastAsia" w:ascii="宋体" w:hAnsi="宋体"/>
          <w:color w:val="auto"/>
          <w:sz w:val="24"/>
        </w:rPr>
        <w:t>联合申请</w:t>
      </w:r>
      <w:r>
        <w:rPr>
          <w:rFonts w:hint="eastAsia" w:ascii="宋体" w:hAnsi="宋体"/>
          <w:color w:val="auto"/>
          <w:sz w:val="24"/>
          <w:lang w:eastAsia="zh-CN"/>
        </w:rPr>
        <w:t>所需资料</w:t>
      </w:r>
      <w:r>
        <w:rPr>
          <w:rFonts w:hint="eastAsia" w:ascii="宋体" w:hAnsi="宋体"/>
          <w:color w:val="auto"/>
          <w:sz w:val="24"/>
        </w:rPr>
        <w:t>：</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b/>
          <w:color w:val="auto"/>
          <w:sz w:val="24"/>
        </w:rPr>
      </w:pPr>
      <w:r>
        <w:rPr>
          <w:rFonts w:hint="eastAsia" w:ascii="宋体" w:hAnsi="宋体"/>
          <w:color w:val="auto"/>
          <w:sz w:val="24"/>
        </w:rPr>
        <w:t>（1）</w:t>
      </w:r>
      <w:r>
        <w:rPr>
          <w:rFonts w:hint="eastAsia" w:ascii="宋体" w:hAnsi="宋体"/>
          <w:color w:val="auto"/>
          <w:sz w:val="24"/>
          <w:lang w:eastAsia="zh-CN"/>
        </w:rPr>
        <w:t>、</w:t>
      </w:r>
      <w:r>
        <w:rPr>
          <w:rFonts w:hint="eastAsia" w:ascii="宋体" w:hAnsi="宋体"/>
          <w:color w:val="auto"/>
          <w:sz w:val="24"/>
        </w:rPr>
        <w:t>联合竞买申请各方共同签署的《竞买申请书》及《竞买登记表》；</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b/>
          <w:color w:val="auto"/>
          <w:sz w:val="24"/>
        </w:rPr>
      </w:pPr>
      <w:r>
        <w:rPr>
          <w:rFonts w:hint="eastAsia" w:ascii="宋体" w:hAnsi="宋体"/>
          <w:color w:val="auto"/>
          <w:sz w:val="24"/>
        </w:rPr>
        <w:t>（2）</w:t>
      </w:r>
      <w:r>
        <w:rPr>
          <w:rFonts w:hint="eastAsia" w:ascii="宋体" w:hAnsi="宋体"/>
          <w:color w:val="auto"/>
          <w:sz w:val="24"/>
          <w:lang w:eastAsia="zh-CN"/>
        </w:rPr>
        <w:t>、</w:t>
      </w:r>
      <w:r>
        <w:rPr>
          <w:rFonts w:hint="eastAsia" w:ascii="宋体" w:hAnsi="宋体"/>
          <w:color w:val="auto"/>
          <w:sz w:val="24"/>
        </w:rPr>
        <w:t>联合申请各方的有效身份证明文件；</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b/>
          <w:color w:val="auto"/>
          <w:sz w:val="24"/>
        </w:rPr>
      </w:pPr>
      <w:r>
        <w:rPr>
          <w:rFonts w:hint="eastAsia" w:ascii="宋体" w:hAnsi="宋体"/>
          <w:color w:val="auto"/>
          <w:sz w:val="24"/>
        </w:rPr>
        <w:t>（3）</w:t>
      </w:r>
      <w:r>
        <w:rPr>
          <w:rFonts w:hint="eastAsia" w:ascii="宋体" w:hAnsi="宋体"/>
          <w:color w:val="auto"/>
          <w:sz w:val="24"/>
          <w:lang w:eastAsia="zh-CN"/>
        </w:rPr>
        <w:t>、</w:t>
      </w:r>
      <w:r>
        <w:rPr>
          <w:rFonts w:hint="eastAsia" w:ascii="宋体" w:hAnsi="宋体"/>
          <w:color w:val="auto"/>
          <w:sz w:val="24"/>
        </w:rPr>
        <w:t>申请人委托他人办理的，应提交授权委托书及委托代理人的有效身份证明文件；</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auto"/>
          <w:sz w:val="24"/>
          <w:lang w:eastAsia="zh-CN"/>
        </w:rPr>
      </w:pPr>
      <w:r>
        <w:rPr>
          <w:rFonts w:hint="eastAsia" w:ascii="宋体" w:hAnsi="宋体"/>
          <w:color w:val="auto"/>
          <w:sz w:val="24"/>
        </w:rPr>
        <w:t>（4）</w:t>
      </w:r>
      <w:r>
        <w:rPr>
          <w:rFonts w:hint="eastAsia" w:ascii="宋体" w:hAnsi="宋体"/>
          <w:color w:val="auto"/>
          <w:sz w:val="24"/>
          <w:lang w:eastAsia="zh-CN"/>
        </w:rPr>
        <w:t>、</w:t>
      </w:r>
      <w:r>
        <w:rPr>
          <w:rFonts w:hint="eastAsia" w:ascii="宋体" w:hAnsi="宋体"/>
          <w:color w:val="auto"/>
          <w:sz w:val="24"/>
        </w:rPr>
        <w:t>联合竞投协议，协议要规定联合各方的权利、义务</w:t>
      </w:r>
      <w:r>
        <w:rPr>
          <w:rFonts w:hint="eastAsia" w:ascii="宋体" w:hAnsi="宋体"/>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olor w:val="auto"/>
          <w:sz w:val="24"/>
          <w:lang w:eastAsia="zh-CN"/>
        </w:rPr>
      </w:pPr>
      <w:r>
        <w:rPr>
          <w:rFonts w:hint="eastAsia" w:ascii="宋体" w:hAnsi="宋体"/>
          <w:color w:val="auto"/>
          <w:sz w:val="24"/>
        </w:rPr>
        <w:t>（5）</w:t>
      </w:r>
      <w:r>
        <w:rPr>
          <w:rFonts w:hint="eastAsia" w:ascii="宋体" w:hAnsi="宋体"/>
          <w:color w:val="auto"/>
          <w:sz w:val="24"/>
          <w:lang w:eastAsia="zh-CN"/>
        </w:rPr>
        <w:t>、</w:t>
      </w:r>
      <w:r>
        <w:rPr>
          <w:rFonts w:hint="eastAsia" w:ascii="宋体" w:hAnsi="宋体"/>
          <w:color w:val="auto"/>
          <w:sz w:val="24"/>
        </w:rPr>
        <w:t>缴纳竞买保证金凭据</w:t>
      </w:r>
      <w:r>
        <w:rPr>
          <w:rFonts w:hint="eastAsia" w:ascii="宋体" w:hAnsi="宋体"/>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olor w:val="auto"/>
          <w:sz w:val="24"/>
          <w:lang w:eastAsia="zh-CN"/>
        </w:rPr>
      </w:pPr>
      <w:r>
        <w:rPr>
          <w:rFonts w:hint="eastAsia" w:ascii="宋体" w:hAnsi="宋体"/>
          <w:color w:val="auto"/>
          <w:sz w:val="24"/>
        </w:rPr>
        <w:t>（</w:t>
      </w:r>
      <w:r>
        <w:rPr>
          <w:rFonts w:hint="eastAsia" w:ascii="宋体" w:hAnsi="宋体"/>
          <w:color w:val="auto"/>
          <w:sz w:val="24"/>
          <w:lang w:val="en-US" w:eastAsia="zh-CN"/>
        </w:rPr>
        <w:t>6</w:t>
      </w:r>
      <w:r>
        <w:rPr>
          <w:rFonts w:hint="eastAsia" w:ascii="宋体" w:hAnsi="宋体"/>
          <w:color w:val="auto"/>
          <w:sz w:val="24"/>
        </w:rPr>
        <w:t>）、竞买须知中所需的其他资料</w:t>
      </w:r>
      <w:r>
        <w:rPr>
          <w:rFonts w:hint="eastAsia" w:ascii="宋体" w:hAnsi="宋体"/>
          <w:color w:val="auto"/>
          <w:sz w:val="24"/>
          <w:lang w:eastAsia="zh-CN"/>
        </w:rPr>
        <w:t>。</w:t>
      </w:r>
    </w:p>
    <w:p>
      <w:pPr>
        <w:spacing w:line="360" w:lineRule="auto"/>
        <w:ind w:firstLine="480" w:firstLineChars="200"/>
        <w:rPr>
          <w:rFonts w:hint="eastAsia" w:ascii="宋体" w:hAnsi="宋体"/>
          <w:sz w:val="24"/>
        </w:rPr>
      </w:pPr>
    </w:p>
    <w:p>
      <w:pPr>
        <w:spacing w:line="360" w:lineRule="auto"/>
        <w:ind w:firstLine="482" w:firstLineChars="200"/>
        <w:rPr>
          <w:rFonts w:hint="eastAsia" w:ascii="宋体" w:hAnsi="宋体"/>
          <w:b/>
          <w:bCs/>
          <w:color w:val="000000" w:themeColor="text1"/>
          <w:sz w:val="24"/>
          <w:lang w:eastAsia="zh-CN"/>
          <w14:textFill>
            <w14:solidFill>
              <w14:schemeClr w14:val="tx1"/>
            </w14:solidFill>
          </w14:textFill>
        </w:rPr>
      </w:pPr>
      <w:r>
        <w:rPr>
          <w:rFonts w:hint="eastAsia" w:ascii="宋体" w:hAnsi="宋体"/>
          <w:b/>
          <w:bCs/>
          <w:color w:val="000000" w:themeColor="text1"/>
          <w:sz w:val="24"/>
          <w:lang w:val="en-US" w:eastAsia="zh-CN"/>
          <w14:textFill>
            <w14:solidFill>
              <w14:schemeClr w14:val="tx1"/>
            </w14:solidFill>
          </w14:textFill>
        </w:rPr>
        <w:t>3、</w:t>
      </w:r>
      <w:r>
        <w:rPr>
          <w:rFonts w:hint="eastAsia" w:ascii="宋体" w:hAnsi="宋体"/>
          <w:b/>
          <w:bCs/>
          <w:color w:val="000000" w:themeColor="text1"/>
          <w:sz w:val="24"/>
          <w:lang w:eastAsia="zh-CN"/>
          <w14:textFill>
            <w14:solidFill>
              <w14:schemeClr w14:val="tx1"/>
            </w14:solidFill>
          </w14:textFill>
        </w:rPr>
        <w:t>网络报名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90" w:lineRule="atLeast"/>
        <w:ind w:left="0" w:right="0" w:firstLine="360"/>
        <w:jc w:val="both"/>
        <w:rPr>
          <w:rFonts w:hint="eastAsia" w:ascii="宋体" w:hAnsi="宋体" w:eastAsia="宋体" w:cs="宋体"/>
          <w:i w:val="0"/>
          <w:caps w:val="0"/>
          <w:color w:val="666666"/>
          <w:spacing w:val="0"/>
          <w:sz w:val="24"/>
          <w:szCs w:val="24"/>
        </w:rPr>
      </w:pPr>
      <w:r>
        <w:rPr>
          <w:rFonts w:hint="eastAsia" w:ascii="宋体" w:hAnsi="宋体" w:eastAsia="宋体" w:cs="宋体"/>
          <w:i w:val="0"/>
          <w:caps w:val="0"/>
          <w:color w:val="000000"/>
          <w:spacing w:val="0"/>
          <w:sz w:val="24"/>
          <w:szCs w:val="24"/>
          <w:shd w:val="clear" w:fill="FFFFFF"/>
        </w:rPr>
        <w:t>有意竞买者请于202</w:t>
      </w:r>
      <w:r>
        <w:rPr>
          <w:rFonts w:hint="eastAsia" w:ascii="宋体" w:hAnsi="宋体" w:cs="宋体"/>
          <w:i w:val="0"/>
          <w:caps w:val="0"/>
          <w:color w:val="000000"/>
          <w:spacing w:val="0"/>
          <w:sz w:val="24"/>
          <w:szCs w:val="24"/>
          <w:shd w:val="clear" w:fill="FFFFFF"/>
          <w:lang w:val="en-US" w:eastAsia="zh-CN"/>
        </w:rPr>
        <w:t>4</w:t>
      </w:r>
      <w:r>
        <w:rPr>
          <w:rFonts w:hint="eastAsia" w:ascii="宋体" w:hAnsi="宋体" w:eastAsia="宋体" w:cs="宋体"/>
          <w:i w:val="0"/>
          <w:caps w:val="0"/>
          <w:color w:val="000000"/>
          <w:spacing w:val="0"/>
          <w:sz w:val="24"/>
          <w:szCs w:val="24"/>
          <w:shd w:val="clear" w:fill="FFFFFF"/>
        </w:rPr>
        <w:t>年</w:t>
      </w:r>
      <w:r>
        <w:rPr>
          <w:rFonts w:hint="eastAsia" w:ascii="宋体" w:hAnsi="宋体" w:cs="宋体"/>
          <w:i w:val="0"/>
          <w:caps w:val="0"/>
          <w:color w:val="000000"/>
          <w:spacing w:val="0"/>
          <w:sz w:val="24"/>
          <w:szCs w:val="24"/>
          <w:shd w:val="clear" w:fill="FFFFFF"/>
          <w:lang w:val="en-US" w:eastAsia="zh-CN"/>
        </w:rPr>
        <w:t>5</w:t>
      </w:r>
      <w:r>
        <w:rPr>
          <w:rFonts w:hint="eastAsia" w:ascii="宋体" w:hAnsi="宋体" w:eastAsia="宋体" w:cs="宋体"/>
          <w:i w:val="0"/>
          <w:caps w:val="0"/>
          <w:color w:val="000000"/>
          <w:spacing w:val="0"/>
          <w:sz w:val="24"/>
          <w:szCs w:val="24"/>
          <w:shd w:val="clear" w:fill="FFFFFF"/>
        </w:rPr>
        <w:t>月</w:t>
      </w:r>
      <w:r>
        <w:rPr>
          <w:rFonts w:hint="eastAsia" w:ascii="宋体" w:hAnsi="宋体" w:cs="宋体"/>
          <w:i w:val="0"/>
          <w:caps w:val="0"/>
          <w:color w:val="000000"/>
          <w:spacing w:val="0"/>
          <w:sz w:val="24"/>
          <w:szCs w:val="24"/>
          <w:shd w:val="clear" w:fill="FFFFFF"/>
          <w:lang w:val="en-US" w:eastAsia="zh-CN"/>
        </w:rPr>
        <w:t>27</w:t>
      </w:r>
      <w:r>
        <w:rPr>
          <w:rFonts w:hint="eastAsia" w:ascii="宋体" w:hAnsi="宋体" w:eastAsia="宋体" w:cs="宋体"/>
          <w:i w:val="0"/>
          <w:caps w:val="0"/>
          <w:color w:val="000000"/>
          <w:spacing w:val="0"/>
          <w:sz w:val="24"/>
          <w:szCs w:val="24"/>
          <w:shd w:val="clear" w:fill="FFFFFF"/>
        </w:rPr>
        <w:t>日</w:t>
      </w:r>
      <w:r>
        <w:rPr>
          <w:rFonts w:hint="eastAsia" w:ascii="宋体" w:hAnsi="宋体" w:eastAsia="宋体" w:cs="宋体"/>
          <w:i w:val="0"/>
          <w:caps w:val="0"/>
          <w:color w:val="000000"/>
          <w:spacing w:val="0"/>
          <w:sz w:val="24"/>
          <w:szCs w:val="24"/>
          <w:shd w:val="clear" w:fill="FFFFFF"/>
          <w:lang w:val="en-US" w:eastAsia="zh-CN"/>
        </w:rPr>
        <w:t>17</w:t>
      </w:r>
      <w:r>
        <w:rPr>
          <w:rFonts w:hint="eastAsia" w:ascii="宋体" w:hAnsi="宋体" w:eastAsia="宋体" w:cs="宋体"/>
          <w:i w:val="0"/>
          <w:caps w:val="0"/>
          <w:color w:val="000000"/>
          <w:spacing w:val="0"/>
          <w:sz w:val="24"/>
          <w:szCs w:val="24"/>
          <w:shd w:val="clear" w:fill="FFFFFF"/>
        </w:rPr>
        <w:t>时前登录</w:t>
      </w:r>
      <w:r>
        <w:rPr>
          <w:rFonts w:hint="eastAsia"/>
          <w:sz w:val="24"/>
          <w:lang w:eastAsia="zh-CN"/>
        </w:rPr>
        <w:t>洪力自助公益拍卖平台</w:t>
      </w:r>
      <w:r>
        <w:rPr>
          <w:rFonts w:hint="eastAsia"/>
          <w:sz w:val="24"/>
          <w:lang w:val="en-US" w:eastAsia="zh-CN"/>
        </w:rPr>
        <w:t>(https://www.honglipai.net/)</w:t>
      </w:r>
      <w:r>
        <w:rPr>
          <w:rFonts w:hint="eastAsia" w:ascii="宋体" w:hAnsi="宋体" w:eastAsia="宋体" w:cs="宋体"/>
          <w:i w:val="0"/>
          <w:caps w:val="0"/>
          <w:color w:val="000000"/>
          <w:spacing w:val="0"/>
          <w:sz w:val="24"/>
          <w:szCs w:val="24"/>
          <w:shd w:val="clear" w:fill="FFFFFF"/>
        </w:rPr>
        <w:t>注册并申请参拍，竞买流程如下：注册→实名认证→</w:t>
      </w:r>
      <w:r>
        <w:rPr>
          <w:rFonts w:hint="eastAsia" w:ascii="宋体" w:hAnsi="宋体" w:cs="宋体"/>
          <w:i w:val="0"/>
          <w:caps w:val="0"/>
          <w:color w:val="000000"/>
          <w:spacing w:val="0"/>
          <w:sz w:val="24"/>
          <w:szCs w:val="24"/>
          <w:shd w:val="clear" w:fill="FFFFFF"/>
          <w:lang w:eastAsia="zh-CN"/>
        </w:rPr>
        <w:t>搜索标的</w:t>
      </w:r>
      <w:r>
        <w:rPr>
          <w:rFonts w:hint="eastAsia" w:ascii="宋体" w:hAnsi="宋体" w:eastAsia="宋体" w:cs="宋体"/>
          <w:i w:val="0"/>
          <w:caps w:val="0"/>
          <w:color w:val="000000"/>
          <w:spacing w:val="0"/>
          <w:sz w:val="24"/>
          <w:szCs w:val="24"/>
          <w:shd w:val="clear" w:fill="FFFFFF"/>
        </w:rPr>
        <w:t>→阅读公告及竞</w:t>
      </w:r>
      <w:r>
        <w:rPr>
          <w:rFonts w:hint="eastAsia" w:ascii="宋体" w:hAnsi="宋体" w:cs="宋体"/>
          <w:i w:val="0"/>
          <w:caps w:val="0"/>
          <w:color w:val="000000"/>
          <w:spacing w:val="0"/>
          <w:sz w:val="24"/>
          <w:szCs w:val="24"/>
          <w:shd w:val="clear" w:fill="FFFFFF"/>
          <w:lang w:eastAsia="zh-CN"/>
        </w:rPr>
        <w:t>拍</w:t>
      </w:r>
      <w:r>
        <w:rPr>
          <w:rFonts w:hint="eastAsia" w:ascii="宋体" w:hAnsi="宋体" w:eastAsia="宋体" w:cs="宋体"/>
          <w:i w:val="0"/>
          <w:caps w:val="0"/>
          <w:color w:val="000000"/>
          <w:spacing w:val="0"/>
          <w:sz w:val="24"/>
          <w:szCs w:val="24"/>
          <w:shd w:val="clear" w:fill="FFFFFF"/>
        </w:rPr>
        <w:t>须知→申请参拍→线下缴纳保证金→实地看样→出价竞拍→办理交割。</w:t>
      </w:r>
      <w:bookmarkStart w:id="2" w:name="_GoBack"/>
      <w:bookmarkEnd w:id="2"/>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90" w:lineRule="atLeast"/>
        <w:ind w:left="0" w:right="0" w:firstLine="360"/>
        <w:jc w:val="both"/>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通过</w:t>
      </w:r>
      <w:r>
        <w:rPr>
          <w:rFonts w:hint="eastAsia"/>
          <w:sz w:val="24"/>
          <w:lang w:eastAsia="zh-CN"/>
        </w:rPr>
        <w:t>洪力自助公益拍卖平台</w:t>
      </w:r>
      <w:r>
        <w:rPr>
          <w:rFonts w:hint="eastAsia"/>
          <w:sz w:val="24"/>
          <w:lang w:val="en-US" w:eastAsia="zh-CN"/>
        </w:rPr>
        <w:t>(https://www.honglipai.net/)</w:t>
      </w:r>
      <w:r>
        <w:rPr>
          <w:rFonts w:hint="eastAsia" w:ascii="宋体" w:hAnsi="宋体" w:eastAsia="宋体" w:cs="宋体"/>
          <w:i w:val="0"/>
          <w:caps w:val="0"/>
          <w:color w:val="000000"/>
          <w:spacing w:val="0"/>
          <w:sz w:val="24"/>
          <w:szCs w:val="24"/>
          <w:shd w:val="clear" w:fill="FFFFFF"/>
        </w:rPr>
        <w:t>进行本次拍卖。本场拍卖会自由竞价时间为1</w:t>
      </w:r>
      <w:r>
        <w:rPr>
          <w:rFonts w:hint="eastAsia" w:ascii="宋体" w:hAnsi="宋体" w:eastAsia="宋体" w:cs="宋体"/>
          <w:i w:val="0"/>
          <w:caps w:val="0"/>
          <w:color w:val="000000"/>
          <w:spacing w:val="0"/>
          <w:sz w:val="24"/>
          <w:szCs w:val="24"/>
          <w:shd w:val="clear" w:fill="FFFFFF"/>
          <w:lang w:val="en-US" w:eastAsia="zh-CN"/>
        </w:rPr>
        <w:t>0</w:t>
      </w:r>
      <w:r>
        <w:rPr>
          <w:rFonts w:hint="eastAsia" w:ascii="宋体" w:hAnsi="宋体" w:eastAsia="宋体" w:cs="宋体"/>
          <w:i w:val="0"/>
          <w:caps w:val="0"/>
          <w:color w:val="000000"/>
          <w:spacing w:val="0"/>
          <w:sz w:val="24"/>
          <w:szCs w:val="24"/>
          <w:shd w:val="clear" w:fill="FFFFFF"/>
        </w:rPr>
        <w:t>分钟，限时竞价时间为</w:t>
      </w:r>
      <w:r>
        <w:rPr>
          <w:rFonts w:hint="eastAsia" w:ascii="宋体" w:hAnsi="宋体" w:cs="宋体"/>
          <w:i w:val="0"/>
          <w:caps w:val="0"/>
          <w:color w:val="000000"/>
          <w:spacing w:val="0"/>
          <w:sz w:val="24"/>
          <w:szCs w:val="24"/>
          <w:shd w:val="clear" w:fill="FFFFFF"/>
          <w:lang w:val="en-US" w:eastAsia="zh-CN"/>
        </w:rPr>
        <w:t>1</w:t>
      </w:r>
      <w:r>
        <w:rPr>
          <w:rFonts w:hint="eastAsia" w:ascii="宋体" w:hAnsi="宋体" w:eastAsia="宋体" w:cs="宋体"/>
          <w:i w:val="0"/>
          <w:caps w:val="0"/>
          <w:color w:val="000000"/>
          <w:spacing w:val="0"/>
          <w:sz w:val="24"/>
          <w:szCs w:val="24"/>
          <w:shd w:val="clear" w:fill="FFFFFF"/>
        </w:rPr>
        <w:t>分钟（每最后</w:t>
      </w:r>
      <w:r>
        <w:rPr>
          <w:rFonts w:hint="eastAsia" w:ascii="宋体" w:hAnsi="宋体" w:cs="宋体"/>
          <w:i w:val="0"/>
          <w:caps w:val="0"/>
          <w:color w:val="000000"/>
          <w:spacing w:val="0"/>
          <w:sz w:val="24"/>
          <w:szCs w:val="24"/>
          <w:shd w:val="clear" w:fill="FFFFFF"/>
          <w:lang w:val="en-US" w:eastAsia="zh-CN"/>
        </w:rPr>
        <w:t>1</w:t>
      </w:r>
      <w:r>
        <w:rPr>
          <w:rFonts w:hint="eastAsia" w:ascii="宋体" w:hAnsi="宋体" w:eastAsia="宋体" w:cs="宋体"/>
          <w:i w:val="0"/>
          <w:caps w:val="0"/>
          <w:color w:val="000000"/>
          <w:spacing w:val="0"/>
          <w:sz w:val="24"/>
          <w:szCs w:val="24"/>
          <w:shd w:val="clear" w:fill="FFFFFF"/>
        </w:rPr>
        <w:t>分钟内如果有竞买人出价，就自动延迟至</w:t>
      </w:r>
      <w:r>
        <w:rPr>
          <w:rFonts w:hint="eastAsia" w:ascii="宋体" w:hAnsi="宋体" w:cs="宋体"/>
          <w:i w:val="0"/>
          <w:caps w:val="0"/>
          <w:color w:val="000000"/>
          <w:spacing w:val="0"/>
          <w:sz w:val="24"/>
          <w:szCs w:val="24"/>
          <w:shd w:val="clear" w:fill="FFFFFF"/>
          <w:lang w:val="en-US" w:eastAsia="zh-CN"/>
        </w:rPr>
        <w:t>1</w:t>
      </w:r>
      <w:r>
        <w:rPr>
          <w:rFonts w:hint="eastAsia" w:ascii="宋体" w:hAnsi="宋体" w:eastAsia="宋体" w:cs="宋体"/>
          <w:i w:val="0"/>
          <w:caps w:val="0"/>
          <w:color w:val="000000"/>
          <w:spacing w:val="0"/>
          <w:sz w:val="24"/>
          <w:szCs w:val="24"/>
          <w:shd w:val="clear" w:fill="FFFFFF"/>
        </w:rPr>
        <w:t>分钟）。在竞价过程中，请竞买人按规定的加价幅度出价，若自行出价，请仔细核对好出价金额，若出现出价金额错误的情况，由买受人自行承担后果。拍卖过程中，请竞买人注意拍卖的时间限制，在系统规定时间内出价，系统规定时间结束后即视为该项标的拍卖结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90" w:lineRule="atLeast"/>
        <w:ind w:left="0" w:right="0" w:firstLine="360"/>
        <w:jc w:val="both"/>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请竞买人务必妥善保管好在</w:t>
      </w:r>
      <w:r>
        <w:rPr>
          <w:rFonts w:hint="eastAsia"/>
          <w:sz w:val="24"/>
          <w:lang w:eastAsia="zh-CN"/>
        </w:rPr>
        <w:t>洪力自助公益拍卖平台</w:t>
      </w:r>
      <w:r>
        <w:rPr>
          <w:rFonts w:hint="eastAsia" w:ascii="宋体" w:hAnsi="宋体" w:eastAsia="宋体" w:cs="宋体"/>
          <w:i w:val="0"/>
          <w:caps w:val="0"/>
          <w:color w:val="000000"/>
          <w:spacing w:val="0"/>
          <w:sz w:val="24"/>
          <w:szCs w:val="24"/>
          <w:shd w:val="clear" w:fill="FFFFFF"/>
        </w:rPr>
        <w:t>上注册的用户名及密码，竞买人应对自身账号的应价行为负责。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90" w:lineRule="atLeast"/>
        <w:ind w:left="0" w:right="0" w:firstLine="360"/>
        <w:jc w:val="both"/>
        <w:rPr>
          <w:rFonts w:hint="eastAsia" w:ascii="宋体" w:hAnsi="宋体" w:eastAsia="宋体" w:cs="宋体"/>
          <w:i w:val="0"/>
          <w:caps w:val="0"/>
          <w:color w:val="000000"/>
          <w:spacing w:val="0"/>
          <w:sz w:val="24"/>
          <w:szCs w:val="2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90" w:lineRule="atLeast"/>
        <w:ind w:left="0" w:right="0" w:firstLine="360"/>
        <w:jc w:val="both"/>
        <w:rPr>
          <w:rFonts w:hint="eastAsia" w:ascii="宋体" w:hAnsi="宋体" w:eastAsia="宋体" w:cs="宋体"/>
          <w:i w:val="0"/>
          <w:caps w:val="0"/>
          <w:color w:val="000000"/>
          <w:spacing w:val="0"/>
          <w:sz w:val="24"/>
          <w:szCs w:val="2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90" w:lineRule="atLeast"/>
        <w:ind w:left="0" w:right="0" w:firstLine="360"/>
        <w:jc w:val="both"/>
        <w:rPr>
          <w:rFonts w:hint="eastAsia" w:ascii="宋体" w:hAnsi="宋体" w:eastAsia="宋体" w:cs="宋体"/>
          <w:i w:val="0"/>
          <w:caps w:val="0"/>
          <w:color w:val="000000"/>
          <w:spacing w:val="0"/>
          <w:sz w:val="24"/>
          <w:szCs w:val="24"/>
          <w:shd w:val="clear" w:fill="FFFFFF"/>
          <w:lang w:eastAsia="zh-CN"/>
        </w:rPr>
      </w:pPr>
    </w:p>
    <w:p>
      <w:pPr>
        <w:numPr>
          <w:ilvl w:val="0"/>
          <w:numId w:val="2"/>
        </w:numPr>
        <w:spacing w:line="360" w:lineRule="auto"/>
        <w:ind w:firstLine="482" w:firstLineChars="200"/>
        <w:rPr>
          <w:rFonts w:hint="eastAsia"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缴纳保证金的方式</w:t>
      </w:r>
    </w:p>
    <w:p>
      <w:pPr>
        <w:spacing w:line="360" w:lineRule="auto"/>
        <w:ind w:firstLine="480" w:firstLineChars="200"/>
        <w:rPr>
          <w:rFonts w:hint="default" w:ascii="宋体" w:hAnsi="宋体" w:eastAsia="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缴纳保证金的方式：通过银行转账</w:t>
      </w:r>
      <w:r>
        <w:rPr>
          <w:rFonts w:hint="eastAsia" w:ascii="宋体" w:hAnsi="宋体"/>
          <w:color w:val="000000" w:themeColor="text1"/>
          <w:sz w:val="24"/>
          <w:lang w:val="en-US" w:eastAsia="zh-CN"/>
          <w14:textFill>
            <w14:solidFill>
              <w14:schemeClr w14:val="tx1"/>
            </w14:solidFill>
          </w14:textFill>
        </w:rPr>
        <w:t>或现金支付</w:t>
      </w:r>
    </w:p>
    <w:p>
      <w:pPr>
        <w:spacing w:line="360" w:lineRule="auto"/>
        <w:ind w:firstLine="480" w:firstLineChars="200"/>
        <w:rPr>
          <w:rFonts w:hint="eastAsia" w:ascii="宋体" w:hAnsi="宋体"/>
          <w:sz w:val="24"/>
          <w:lang w:val="en-US" w:eastAsia="zh-CN"/>
        </w:rPr>
      </w:pPr>
      <w:r>
        <w:rPr>
          <w:rFonts w:hint="eastAsia" w:ascii="宋体" w:hAnsi="宋体"/>
          <w:color w:val="000000" w:themeColor="text1"/>
          <w:sz w:val="24"/>
          <w14:textFill>
            <w14:solidFill>
              <w14:schemeClr w14:val="tx1"/>
            </w14:solidFill>
          </w14:textFill>
        </w:rPr>
        <w:t>开户名称：</w:t>
      </w:r>
      <w:r>
        <w:rPr>
          <w:rFonts w:hint="eastAsia" w:ascii="宋体" w:hAnsi="宋体"/>
          <w:sz w:val="24"/>
          <w:lang w:val="en-US" w:eastAsia="zh-CN"/>
        </w:rPr>
        <w:t>锡林郭勒盟锦元惠丰拍卖招标有限公司</w:t>
      </w:r>
    </w:p>
    <w:p>
      <w:pPr>
        <w:spacing w:line="360" w:lineRule="auto"/>
        <w:ind w:firstLine="480" w:firstLineChars="200"/>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开户银行：</w:t>
      </w:r>
      <w:r>
        <w:rPr>
          <w:rFonts w:hint="eastAsia" w:ascii="宋体" w:hAnsi="宋体"/>
          <w:color w:val="000000" w:themeColor="text1"/>
          <w:sz w:val="24"/>
          <w:lang w:val="en-US" w:eastAsia="zh-CN"/>
          <w14:textFill>
            <w14:solidFill>
              <w14:schemeClr w14:val="tx1"/>
            </w14:solidFill>
          </w14:textFill>
        </w:rPr>
        <w:t>锡林浩特农村合作银行</w:t>
      </w:r>
    </w:p>
    <w:p>
      <w:pPr>
        <w:spacing w:line="360" w:lineRule="auto"/>
        <w:ind w:firstLine="480" w:firstLineChars="200"/>
        <w:rPr>
          <w:rFonts w:hint="default" w:ascii="宋体" w:hAnsi="宋体" w:eastAsia="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帐    号：</w:t>
      </w:r>
      <w:r>
        <w:rPr>
          <w:rFonts w:hint="eastAsia" w:ascii="宋体" w:hAnsi="宋体"/>
          <w:color w:val="000000" w:themeColor="text1"/>
          <w:sz w:val="24"/>
          <w:lang w:val="en-US" w:eastAsia="zh-CN"/>
          <w14:textFill>
            <w14:solidFill>
              <w14:schemeClr w14:val="tx1"/>
            </w14:solidFill>
          </w14:textFill>
        </w:rPr>
        <w:t>5200  30122  0000000  106736</w:t>
      </w:r>
    </w:p>
    <w:p>
      <w:pPr>
        <w:spacing w:line="360" w:lineRule="auto"/>
        <w:ind w:firstLine="480" w:firstLineChars="200"/>
        <w:rPr>
          <w:rFonts w:hint="eastAsia" w:ascii="宋体" w:hAnsi="宋体"/>
          <w:color w:val="FF0000"/>
          <w:sz w:val="24"/>
        </w:rPr>
      </w:pPr>
      <w:r>
        <w:rPr>
          <w:rFonts w:hint="eastAsia" w:ascii="宋体" w:hAnsi="宋体" w:eastAsia="宋体" w:cs="宋体"/>
          <w:color w:val="000000" w:themeColor="text1"/>
          <w:sz w:val="24"/>
          <w:szCs w:val="24"/>
          <w14:textFill>
            <w14:solidFill>
              <w14:schemeClr w14:val="tx1"/>
            </w14:solidFill>
          </w14:textFill>
        </w:rPr>
        <w:t>保证金数额：</w:t>
      </w:r>
      <w:r>
        <w:rPr>
          <w:rFonts w:hint="eastAsia" w:ascii="宋体" w:hAnsi="宋体" w:eastAsia="宋体" w:cs="宋体"/>
          <w:color w:val="000000" w:themeColor="text1"/>
          <w:sz w:val="24"/>
          <w:szCs w:val="24"/>
          <w:lang w:eastAsia="zh-CN"/>
          <w14:textFill>
            <w14:solidFill>
              <w14:schemeClr w14:val="tx1"/>
            </w14:solidFill>
          </w14:textFill>
        </w:rPr>
        <w:t>标的</w:t>
      </w:r>
      <w:r>
        <w:rPr>
          <w:rFonts w:hint="eastAsia" w:ascii="宋体" w:hAnsi="宋体" w:eastAsia="宋体" w:cs="宋体"/>
          <w:color w:val="000000" w:themeColor="text1"/>
          <w:sz w:val="24"/>
          <w:szCs w:val="24"/>
          <w14:textFill>
            <w14:solidFill>
              <w14:schemeClr w14:val="tx1"/>
            </w14:solidFill>
          </w14:textFill>
        </w:rPr>
        <w:t>竞买保证金</w:t>
      </w:r>
      <w:r>
        <w:rPr>
          <w:rFonts w:hint="eastAsia" w:ascii="宋体" w:hAnsi="宋体" w:eastAsia="宋体" w:cs="宋体"/>
          <w:color w:val="000000" w:themeColor="text1"/>
          <w:sz w:val="24"/>
          <w:szCs w:val="24"/>
          <w:lang w:eastAsia="zh-CN"/>
          <w14:textFill>
            <w14:solidFill>
              <w14:schemeClr w14:val="tx1"/>
            </w14:solidFill>
          </w14:textFill>
        </w:rPr>
        <w:t>为参考价的</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0%</w:t>
      </w:r>
      <w:r>
        <w:rPr>
          <w:rFonts w:hint="eastAsia" w:ascii="宋体" w:hAnsi="宋体" w:eastAsia="宋体" w:cs="宋体"/>
          <w:color w:val="000000" w:themeColor="text1"/>
          <w:sz w:val="24"/>
          <w:szCs w:val="24"/>
          <w14:textFill>
            <w14:solidFill>
              <w14:schemeClr w14:val="tx1"/>
            </w14:solidFill>
          </w14:textFill>
        </w:rPr>
        <w:t>。</w:t>
      </w:r>
    </w:p>
    <w:p>
      <w:pPr>
        <w:numPr>
          <w:ilvl w:val="0"/>
          <w:numId w:val="3"/>
        </w:numPr>
        <w:spacing w:line="360" w:lineRule="auto"/>
        <w:ind w:firstLine="482" w:firstLineChars="200"/>
        <w:rPr>
          <w:rFonts w:hint="eastAsia" w:ascii="宋体" w:hAnsi="宋体"/>
          <w:b/>
          <w:sz w:val="24"/>
          <w:lang w:val="en-US" w:eastAsia="zh-CN"/>
        </w:rPr>
      </w:pPr>
      <w:r>
        <w:rPr>
          <w:rFonts w:hint="eastAsia" w:ascii="宋体" w:hAnsi="宋体"/>
          <w:b/>
          <w:sz w:val="24"/>
        </w:rPr>
        <w:t>拍卖标的基本情况</w:t>
      </w:r>
    </w:p>
    <w:tbl>
      <w:tblPr>
        <w:tblStyle w:val="4"/>
        <w:tblW w:w="5583" w:type="pct"/>
        <w:tblInd w:w="-2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2881"/>
        <w:gridCol w:w="3667"/>
        <w:gridCol w:w="872"/>
        <w:gridCol w:w="1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宋体" w:hAnsi="宋体" w:eastAsia="宋体"/>
                <w:sz w:val="24"/>
                <w:lang w:val="en-US" w:eastAsia="zh-CN"/>
              </w:rPr>
            </w:pPr>
            <w:r>
              <w:rPr>
                <w:rFonts w:hint="eastAsia" w:ascii="宋体" w:hAnsi="宋体"/>
                <w:sz w:val="24"/>
              </w:rPr>
              <w:t>标</w:t>
            </w:r>
            <w:r>
              <w:rPr>
                <w:rFonts w:hint="eastAsia" w:ascii="宋体" w:hAnsi="宋体"/>
                <w:sz w:val="24"/>
                <w:lang w:val="en-US" w:eastAsia="zh-CN"/>
              </w:rPr>
              <w:t xml:space="preserve"> </w:t>
            </w:r>
            <w:r>
              <w:rPr>
                <w:rFonts w:hint="eastAsia" w:ascii="宋体" w:hAnsi="宋体"/>
                <w:sz w:val="24"/>
              </w:rPr>
              <w:t>的序 号</w:t>
            </w:r>
          </w:p>
        </w:tc>
        <w:tc>
          <w:tcPr>
            <w:tcW w:w="1513" w:type="pct"/>
            <w:noWrap w:val="0"/>
            <w:vAlign w:val="center"/>
          </w:tcPr>
          <w:p>
            <w:pPr>
              <w:spacing w:line="240" w:lineRule="atLeast"/>
              <w:ind w:left="-181" w:leftChars="-172" w:hanging="180"/>
              <w:jc w:val="center"/>
              <w:rPr>
                <w:rFonts w:hint="eastAsia" w:ascii="宋体" w:hAnsi="宋体"/>
                <w:sz w:val="24"/>
              </w:rPr>
            </w:pPr>
            <w:r>
              <w:rPr>
                <w:rFonts w:hint="eastAsia" w:ascii="宋体" w:hAnsi="宋体"/>
                <w:sz w:val="24"/>
              </w:rPr>
              <w:t>标的名称</w:t>
            </w:r>
          </w:p>
        </w:tc>
        <w:tc>
          <w:tcPr>
            <w:tcW w:w="1926" w:type="pct"/>
            <w:noWrap w:val="0"/>
            <w:vAlign w:val="center"/>
          </w:tcPr>
          <w:p>
            <w:pPr>
              <w:spacing w:line="240" w:lineRule="atLeast"/>
              <w:jc w:val="center"/>
              <w:rPr>
                <w:rFonts w:hint="eastAsia" w:ascii="宋体" w:hAnsi="宋体" w:eastAsia="宋体"/>
                <w:sz w:val="24"/>
                <w:lang w:eastAsia="zh-CN"/>
              </w:rPr>
            </w:pPr>
            <w:r>
              <w:rPr>
                <w:rFonts w:hint="eastAsia" w:ascii="宋体" w:hAnsi="宋体"/>
                <w:sz w:val="24"/>
                <w:lang w:eastAsia="zh-CN"/>
              </w:rPr>
              <w:t>位置</w:t>
            </w:r>
          </w:p>
        </w:tc>
        <w:tc>
          <w:tcPr>
            <w:tcW w:w="458" w:type="pct"/>
            <w:noWrap w:val="0"/>
            <w:vAlign w:val="center"/>
          </w:tcPr>
          <w:p>
            <w:pPr>
              <w:spacing w:line="240" w:lineRule="atLeast"/>
              <w:jc w:val="center"/>
              <w:rPr>
                <w:rFonts w:hint="default" w:ascii="宋体" w:hAnsi="宋体" w:eastAsia="宋体"/>
                <w:sz w:val="24"/>
                <w:lang w:val="en-US" w:eastAsia="zh-CN"/>
              </w:rPr>
            </w:pPr>
            <w:r>
              <w:rPr>
                <w:rFonts w:hint="eastAsia" w:ascii="宋体" w:hAnsi="宋体"/>
                <w:sz w:val="24"/>
                <w:lang w:val="en-US" w:eastAsia="zh-CN"/>
              </w:rPr>
              <w:t>租期</w:t>
            </w:r>
          </w:p>
        </w:tc>
        <w:tc>
          <w:tcPr>
            <w:tcW w:w="668" w:type="pct"/>
            <w:noWrap w:val="0"/>
            <w:vAlign w:val="center"/>
          </w:tcPr>
          <w:p>
            <w:pPr>
              <w:spacing w:line="240" w:lineRule="atLeast"/>
              <w:jc w:val="center"/>
              <w:rPr>
                <w:rFonts w:hint="eastAsia" w:ascii="宋体" w:hAnsi="宋体"/>
                <w:sz w:val="24"/>
              </w:rPr>
            </w:pPr>
            <w:r>
              <w:rPr>
                <w:rFonts w:hint="eastAsia" w:ascii="宋体" w:hAnsi="宋体"/>
                <w:sz w:val="24"/>
              </w:rPr>
              <w:t>参考价</w:t>
            </w:r>
          </w:p>
          <w:p>
            <w:pPr>
              <w:spacing w:line="240" w:lineRule="atLeast"/>
              <w:jc w:val="center"/>
              <w:rPr>
                <w:rFonts w:hint="eastAsia" w:ascii="宋体" w:hAnsi="宋体"/>
                <w:sz w:val="24"/>
              </w:rPr>
            </w:pPr>
            <w:r>
              <w:rPr>
                <w:rFonts w:hint="eastAsia" w:ascii="宋体" w:hAnsi="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3" w:type="pct"/>
            <w:noWrap w:val="0"/>
            <w:vAlign w:val="center"/>
          </w:tcPr>
          <w:p>
            <w:pPr>
              <w:keepNext w:val="0"/>
              <w:keepLines w:val="0"/>
              <w:widowControl/>
              <w:suppressLineNumbers w:val="0"/>
              <w:spacing w:line="360" w:lineRule="auto"/>
              <w:jc w:val="center"/>
              <w:rPr>
                <w:rFonts w:hint="default" w:ascii="宋体" w:hAnsi="宋体" w:cs="宋体"/>
                <w:i w:val="0"/>
                <w:color w:val="auto"/>
                <w:kern w:val="0"/>
                <w:sz w:val="22"/>
                <w:szCs w:val="22"/>
                <w:u w:val="none"/>
                <w:lang w:val="en-US" w:eastAsia="zh-CN" w:bidi="ar"/>
              </w:rPr>
            </w:pPr>
            <w:r>
              <w:rPr>
                <w:rFonts w:hint="eastAsia" w:ascii="宋体" w:hAnsi="宋体" w:cs="宋体"/>
                <w:i w:val="0"/>
                <w:color w:val="auto"/>
                <w:kern w:val="0"/>
                <w:sz w:val="22"/>
                <w:szCs w:val="22"/>
                <w:u w:val="none"/>
                <w:lang w:val="en-US" w:eastAsia="zh-CN" w:bidi="ar"/>
              </w:rPr>
              <w:t>1</w:t>
            </w:r>
          </w:p>
        </w:tc>
        <w:tc>
          <w:tcPr>
            <w:tcW w:w="1513" w:type="pct"/>
            <w:noWrap w:val="0"/>
            <w:vAlign w:val="center"/>
          </w:tcPr>
          <w:p>
            <w:pPr>
              <w:ind w:left="0" w:leftChars="0"/>
              <w:jc w:val="center"/>
              <w:rPr>
                <w:rFonts w:hint="eastAsia" w:ascii="宋体" w:hAnsi="宋体" w:eastAsia="宋体" w:cs="宋体"/>
                <w:i w:val="0"/>
                <w:color w:val="auto"/>
                <w:kern w:val="0"/>
                <w:sz w:val="22"/>
                <w:szCs w:val="22"/>
                <w:u w:val="none"/>
                <w:lang w:val="en-US" w:eastAsia="zh-CN" w:bidi="ar"/>
              </w:rPr>
            </w:pPr>
            <w:r>
              <w:rPr>
                <w:rFonts w:hint="eastAsia" w:ascii="宋体" w:hAnsi="宋体"/>
                <w:b w:val="0"/>
                <w:bCs/>
                <w:sz w:val="24"/>
                <w:szCs w:val="24"/>
                <w:lang w:val="en-US" w:eastAsia="zh-CN"/>
              </w:rPr>
              <w:t>游客中心东柜台</w:t>
            </w:r>
          </w:p>
        </w:tc>
        <w:tc>
          <w:tcPr>
            <w:tcW w:w="1926" w:type="pct"/>
            <w:noWrap w:val="0"/>
            <w:vAlign w:val="center"/>
          </w:tcPr>
          <w:p>
            <w:pPr>
              <w:jc w:val="center"/>
              <w:rPr>
                <w:rFonts w:hint="default" w:ascii="宋体" w:hAnsi="宋体" w:cs="宋体"/>
                <w:i w:val="0"/>
                <w:color w:val="auto"/>
                <w:kern w:val="0"/>
                <w:sz w:val="22"/>
                <w:szCs w:val="22"/>
                <w:u w:val="none"/>
                <w:lang w:val="en-US" w:eastAsia="zh-CN" w:bidi="ar"/>
              </w:rPr>
            </w:pPr>
            <w:r>
              <w:rPr>
                <w:rFonts w:hint="eastAsia"/>
                <w:b w:val="0"/>
                <w:bCs/>
                <w:sz w:val="21"/>
                <w:szCs w:val="21"/>
                <w:lang w:eastAsia="zh-CN"/>
              </w:rPr>
              <w:t>内蒙古锡林郭勒盟多伦县多伦湖景区</w:t>
            </w:r>
          </w:p>
        </w:tc>
        <w:tc>
          <w:tcPr>
            <w:tcW w:w="458" w:type="pct"/>
            <w:noWrap w:val="0"/>
            <w:vAlign w:val="center"/>
          </w:tcPr>
          <w:p>
            <w:pPr>
              <w:jc w:val="center"/>
              <w:rPr>
                <w:rFonts w:hint="eastAsia" w:ascii="宋体" w:hAnsi="宋体" w:eastAsia="宋体" w:cs="宋体"/>
                <w:i w:val="0"/>
                <w:color w:val="auto"/>
                <w:kern w:val="0"/>
                <w:sz w:val="22"/>
                <w:szCs w:val="22"/>
                <w:u w:val="none"/>
                <w:lang w:val="en-US" w:eastAsia="zh-CN" w:bidi="ar"/>
              </w:rPr>
            </w:pPr>
            <w:r>
              <w:rPr>
                <w:rFonts w:hint="default" w:ascii="宋体" w:hAnsi="宋体" w:eastAsia="宋体" w:cs="宋体"/>
                <w:spacing w:val="0"/>
                <w:sz w:val="24"/>
                <w:vertAlign w:val="baseline"/>
                <w:lang w:val="en-US" w:eastAsia="zh-CN"/>
              </w:rPr>
              <w:t>一年</w:t>
            </w:r>
          </w:p>
        </w:tc>
        <w:tc>
          <w:tcPr>
            <w:tcW w:w="668" w:type="pct"/>
            <w:noWrap w:val="0"/>
            <w:vAlign w:val="center"/>
          </w:tcPr>
          <w:p>
            <w:pPr>
              <w:jc w:val="center"/>
              <w:rPr>
                <w:rFonts w:hint="default" w:ascii="宋体" w:hAnsi="宋体"/>
                <w:color w:val="auto"/>
                <w:sz w:val="24"/>
                <w:lang w:val="en-US" w:eastAsia="zh-CN"/>
              </w:rPr>
            </w:pPr>
            <w:r>
              <w:rPr>
                <w:rFonts w:hint="eastAsia" w:ascii="宋体" w:hAnsi="宋体" w:cs="宋体"/>
                <w:sz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3" w:type="pct"/>
            <w:noWrap w:val="0"/>
            <w:vAlign w:val="center"/>
          </w:tcPr>
          <w:p>
            <w:pPr>
              <w:keepNext w:val="0"/>
              <w:keepLines w:val="0"/>
              <w:widowControl/>
              <w:suppressLineNumbers w:val="0"/>
              <w:spacing w:line="360" w:lineRule="auto"/>
              <w:jc w:val="center"/>
              <w:rPr>
                <w:rFonts w:hint="eastAsia" w:ascii="宋体" w:hAnsi="宋体" w:cs="宋体"/>
                <w:i w:val="0"/>
                <w:color w:val="auto"/>
                <w:kern w:val="0"/>
                <w:sz w:val="22"/>
                <w:szCs w:val="22"/>
                <w:u w:val="none"/>
                <w:lang w:val="en-US" w:eastAsia="zh-CN" w:bidi="ar"/>
              </w:rPr>
            </w:pPr>
            <w:r>
              <w:rPr>
                <w:rFonts w:hint="eastAsia" w:ascii="宋体" w:hAnsi="宋体" w:cs="宋体"/>
                <w:i w:val="0"/>
                <w:color w:val="auto"/>
                <w:kern w:val="0"/>
                <w:sz w:val="22"/>
                <w:szCs w:val="22"/>
                <w:u w:val="none"/>
                <w:lang w:val="en-US" w:eastAsia="zh-CN" w:bidi="ar"/>
              </w:rPr>
              <w:t>2</w:t>
            </w:r>
          </w:p>
        </w:tc>
        <w:tc>
          <w:tcPr>
            <w:tcW w:w="1513" w:type="pct"/>
            <w:noWrap w:val="0"/>
            <w:vAlign w:val="center"/>
          </w:tcPr>
          <w:p>
            <w:pPr>
              <w:ind w:left="0" w:leftChars="0"/>
              <w:jc w:val="center"/>
              <w:rPr>
                <w:rFonts w:hint="default" w:ascii="宋体" w:hAnsi="宋体" w:eastAsia="宋体" w:cs="宋体"/>
                <w:i w:val="0"/>
                <w:color w:val="auto"/>
                <w:kern w:val="0"/>
                <w:sz w:val="22"/>
                <w:szCs w:val="22"/>
                <w:u w:val="none"/>
                <w:lang w:val="en-US" w:eastAsia="zh-CN" w:bidi="ar"/>
              </w:rPr>
            </w:pPr>
            <w:r>
              <w:rPr>
                <w:rFonts w:hint="eastAsia" w:ascii="宋体" w:hAnsi="宋体"/>
                <w:b w:val="0"/>
                <w:bCs/>
                <w:sz w:val="24"/>
                <w:szCs w:val="24"/>
                <w:lang w:val="en-US" w:eastAsia="zh-CN"/>
              </w:rPr>
              <w:t>游客中心西柜台</w:t>
            </w:r>
          </w:p>
        </w:tc>
        <w:tc>
          <w:tcPr>
            <w:tcW w:w="1926" w:type="pct"/>
            <w:noWrap w:val="0"/>
            <w:vAlign w:val="center"/>
          </w:tcPr>
          <w:p>
            <w:pPr>
              <w:jc w:val="center"/>
              <w:rPr>
                <w:rFonts w:hint="default" w:ascii="宋体" w:hAnsi="宋体" w:eastAsia="宋体" w:cs="宋体"/>
                <w:i w:val="0"/>
                <w:color w:val="auto"/>
                <w:kern w:val="0"/>
                <w:sz w:val="22"/>
                <w:szCs w:val="22"/>
                <w:u w:val="none"/>
                <w:lang w:val="en-US" w:eastAsia="zh-CN" w:bidi="ar"/>
              </w:rPr>
            </w:pPr>
            <w:r>
              <w:rPr>
                <w:rFonts w:hint="eastAsia"/>
                <w:b w:val="0"/>
                <w:bCs/>
                <w:sz w:val="21"/>
                <w:szCs w:val="21"/>
                <w:lang w:eastAsia="zh-CN"/>
              </w:rPr>
              <w:t>内蒙古锡林郭勒盟多伦县多伦湖景区</w:t>
            </w:r>
          </w:p>
        </w:tc>
        <w:tc>
          <w:tcPr>
            <w:tcW w:w="458" w:type="pct"/>
            <w:noWrap w:val="0"/>
            <w:vAlign w:val="center"/>
          </w:tcPr>
          <w:p>
            <w:pPr>
              <w:jc w:val="center"/>
              <w:rPr>
                <w:rFonts w:hint="eastAsia" w:ascii="宋体" w:hAnsi="宋体" w:eastAsia="宋体" w:cs="宋体"/>
                <w:i w:val="0"/>
                <w:color w:val="auto"/>
                <w:kern w:val="0"/>
                <w:sz w:val="22"/>
                <w:szCs w:val="22"/>
                <w:u w:val="none"/>
                <w:lang w:val="en-US" w:eastAsia="zh-CN" w:bidi="ar"/>
              </w:rPr>
            </w:pPr>
            <w:r>
              <w:rPr>
                <w:rFonts w:hint="default" w:ascii="宋体" w:hAnsi="宋体" w:eastAsia="宋体" w:cs="宋体"/>
                <w:spacing w:val="0"/>
                <w:sz w:val="24"/>
                <w:vertAlign w:val="baseline"/>
                <w:lang w:val="en-US" w:eastAsia="zh-CN"/>
              </w:rPr>
              <w:t>一年</w:t>
            </w:r>
          </w:p>
        </w:tc>
        <w:tc>
          <w:tcPr>
            <w:tcW w:w="668" w:type="pct"/>
            <w:noWrap w:val="0"/>
            <w:vAlign w:val="center"/>
          </w:tcPr>
          <w:p>
            <w:pPr>
              <w:jc w:val="center"/>
              <w:rPr>
                <w:rFonts w:hint="default" w:ascii="宋体" w:hAnsi="宋体"/>
                <w:color w:val="auto"/>
                <w:sz w:val="24"/>
                <w:lang w:val="en-US" w:eastAsia="zh-CN"/>
              </w:rPr>
            </w:pPr>
            <w:r>
              <w:rPr>
                <w:rFonts w:hint="eastAsia" w:ascii="宋体" w:hAnsi="宋体" w:cs="宋体"/>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3" w:type="pct"/>
            <w:noWrap w:val="0"/>
            <w:vAlign w:val="center"/>
          </w:tcPr>
          <w:p>
            <w:pPr>
              <w:keepNext w:val="0"/>
              <w:keepLines w:val="0"/>
              <w:widowControl/>
              <w:suppressLineNumbers w:val="0"/>
              <w:spacing w:line="360" w:lineRule="auto"/>
              <w:jc w:val="center"/>
              <w:rPr>
                <w:rFonts w:hint="eastAsia" w:ascii="宋体" w:hAnsi="宋体" w:cs="宋体"/>
                <w:i w:val="0"/>
                <w:color w:val="auto"/>
                <w:kern w:val="0"/>
                <w:sz w:val="22"/>
                <w:szCs w:val="22"/>
                <w:u w:val="none"/>
                <w:lang w:val="en-US" w:eastAsia="zh-CN" w:bidi="ar"/>
              </w:rPr>
            </w:pPr>
            <w:r>
              <w:rPr>
                <w:rFonts w:hint="eastAsia" w:ascii="宋体" w:hAnsi="宋体" w:cs="宋体"/>
                <w:i w:val="0"/>
                <w:color w:val="auto"/>
                <w:kern w:val="0"/>
                <w:sz w:val="22"/>
                <w:szCs w:val="22"/>
                <w:u w:val="none"/>
                <w:lang w:val="en-US" w:eastAsia="zh-CN" w:bidi="ar"/>
              </w:rPr>
              <w:t>3</w:t>
            </w:r>
          </w:p>
        </w:tc>
        <w:tc>
          <w:tcPr>
            <w:tcW w:w="1513" w:type="pct"/>
            <w:noWrap w:val="0"/>
            <w:vAlign w:val="center"/>
          </w:tcPr>
          <w:p>
            <w:pPr>
              <w:ind w:left="0" w:leftChars="0"/>
              <w:jc w:val="center"/>
              <w:rPr>
                <w:rFonts w:hint="eastAsia" w:ascii="宋体" w:hAnsi="宋体" w:eastAsia="宋体" w:cs="宋体"/>
                <w:i w:val="0"/>
                <w:color w:val="auto"/>
                <w:kern w:val="0"/>
                <w:sz w:val="22"/>
                <w:szCs w:val="22"/>
                <w:u w:val="none"/>
                <w:lang w:val="en-US" w:eastAsia="zh-CN" w:bidi="ar"/>
              </w:rPr>
            </w:pPr>
            <w:r>
              <w:rPr>
                <w:rFonts w:hint="eastAsia" w:ascii="宋体" w:hAnsi="宋体"/>
                <w:b w:val="0"/>
                <w:bCs/>
                <w:sz w:val="24"/>
                <w:szCs w:val="24"/>
                <w:lang w:val="en-US" w:eastAsia="zh-CN"/>
              </w:rPr>
              <w:t>游客中心外西侧小吃长廊</w:t>
            </w:r>
          </w:p>
        </w:tc>
        <w:tc>
          <w:tcPr>
            <w:tcW w:w="1926" w:type="pct"/>
            <w:noWrap w:val="0"/>
            <w:vAlign w:val="center"/>
          </w:tcPr>
          <w:p>
            <w:pPr>
              <w:jc w:val="center"/>
              <w:rPr>
                <w:rFonts w:hint="eastAsia" w:ascii="宋体" w:hAnsi="宋体" w:eastAsia="宋体" w:cs="宋体"/>
                <w:i w:val="0"/>
                <w:color w:val="auto"/>
                <w:kern w:val="0"/>
                <w:sz w:val="22"/>
                <w:szCs w:val="22"/>
                <w:u w:val="none"/>
                <w:lang w:val="en-US" w:eastAsia="zh-CN" w:bidi="ar"/>
              </w:rPr>
            </w:pPr>
            <w:r>
              <w:rPr>
                <w:rFonts w:hint="eastAsia"/>
                <w:b w:val="0"/>
                <w:bCs/>
                <w:sz w:val="21"/>
                <w:szCs w:val="21"/>
                <w:lang w:eastAsia="zh-CN"/>
              </w:rPr>
              <w:t>内蒙古锡林郭勒盟多伦县多伦湖景区</w:t>
            </w:r>
          </w:p>
        </w:tc>
        <w:tc>
          <w:tcPr>
            <w:tcW w:w="458" w:type="pct"/>
            <w:noWrap w:val="0"/>
            <w:vAlign w:val="center"/>
          </w:tcPr>
          <w:p>
            <w:pPr>
              <w:jc w:val="center"/>
              <w:rPr>
                <w:rFonts w:hint="eastAsia" w:ascii="宋体" w:hAnsi="宋体" w:eastAsia="宋体" w:cs="宋体"/>
                <w:i w:val="0"/>
                <w:color w:val="auto"/>
                <w:kern w:val="0"/>
                <w:sz w:val="22"/>
                <w:szCs w:val="22"/>
                <w:u w:val="none"/>
                <w:lang w:val="en-US" w:eastAsia="zh-CN" w:bidi="ar"/>
              </w:rPr>
            </w:pPr>
            <w:r>
              <w:rPr>
                <w:rFonts w:hint="default" w:ascii="宋体" w:hAnsi="宋体" w:eastAsia="宋体" w:cs="宋体"/>
                <w:spacing w:val="0"/>
                <w:sz w:val="24"/>
                <w:vertAlign w:val="baseline"/>
                <w:lang w:val="en-US" w:eastAsia="zh-CN"/>
              </w:rPr>
              <w:t>一年</w:t>
            </w:r>
          </w:p>
        </w:tc>
        <w:tc>
          <w:tcPr>
            <w:tcW w:w="668" w:type="pct"/>
            <w:noWrap w:val="0"/>
            <w:vAlign w:val="center"/>
          </w:tcPr>
          <w:p>
            <w:pPr>
              <w:jc w:val="center"/>
              <w:rPr>
                <w:rFonts w:hint="default" w:ascii="宋体" w:hAnsi="宋体"/>
                <w:color w:val="auto"/>
                <w:sz w:val="24"/>
                <w:lang w:val="en-US" w:eastAsia="zh-CN"/>
              </w:rPr>
            </w:pPr>
            <w:r>
              <w:rPr>
                <w:rFonts w:hint="eastAsia" w:ascii="宋体" w:hAnsi="宋体" w:eastAsia="宋体" w:cs="宋体"/>
                <w:sz w:val="24"/>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3" w:type="pct"/>
            <w:noWrap w:val="0"/>
            <w:vAlign w:val="center"/>
          </w:tcPr>
          <w:p>
            <w:pPr>
              <w:keepNext w:val="0"/>
              <w:keepLines w:val="0"/>
              <w:widowControl/>
              <w:suppressLineNumbers w:val="0"/>
              <w:spacing w:line="360" w:lineRule="auto"/>
              <w:jc w:val="center"/>
              <w:rPr>
                <w:rFonts w:hint="eastAsia" w:ascii="宋体" w:hAnsi="宋体"/>
                <w:color w:val="auto"/>
                <w:sz w:val="24"/>
                <w:lang w:val="en-US" w:eastAsia="zh-CN"/>
              </w:rPr>
            </w:pPr>
            <w:r>
              <w:rPr>
                <w:rFonts w:hint="eastAsia" w:ascii="宋体" w:hAnsi="宋体" w:cs="宋体"/>
                <w:i w:val="0"/>
                <w:color w:val="auto"/>
                <w:kern w:val="0"/>
                <w:sz w:val="22"/>
                <w:szCs w:val="22"/>
                <w:u w:val="none"/>
                <w:lang w:val="en-US" w:eastAsia="zh-CN" w:bidi="ar"/>
              </w:rPr>
              <w:t>4</w:t>
            </w:r>
          </w:p>
        </w:tc>
        <w:tc>
          <w:tcPr>
            <w:tcW w:w="1513" w:type="pct"/>
            <w:noWrap w:val="0"/>
            <w:vAlign w:val="center"/>
          </w:tcPr>
          <w:p>
            <w:pPr>
              <w:ind w:left="0" w:leftChars="0"/>
              <w:jc w:val="center"/>
              <w:rPr>
                <w:rFonts w:hint="eastAsia" w:ascii="宋体" w:hAnsi="宋体"/>
                <w:color w:val="auto"/>
                <w:sz w:val="24"/>
                <w:lang w:val="en-US" w:eastAsia="zh-CN"/>
              </w:rPr>
            </w:pPr>
            <w:r>
              <w:rPr>
                <w:rFonts w:hint="eastAsia" w:ascii="宋体" w:hAnsi="宋体"/>
                <w:b w:val="0"/>
                <w:bCs/>
                <w:sz w:val="24"/>
                <w:szCs w:val="24"/>
                <w:lang w:eastAsia="zh-CN"/>
              </w:rPr>
              <w:t>多伦湖景区</w:t>
            </w:r>
            <w:r>
              <w:rPr>
                <w:rFonts w:hint="eastAsia" w:ascii="宋体" w:hAnsi="宋体"/>
                <w:b w:val="0"/>
                <w:bCs/>
                <w:sz w:val="24"/>
                <w:szCs w:val="24"/>
                <w:lang w:val="en-US" w:eastAsia="zh-CN"/>
              </w:rPr>
              <w:t>2处酒店及星空房11间</w:t>
            </w:r>
          </w:p>
        </w:tc>
        <w:tc>
          <w:tcPr>
            <w:tcW w:w="1926" w:type="pct"/>
            <w:noWrap w:val="0"/>
            <w:vAlign w:val="center"/>
          </w:tcPr>
          <w:p>
            <w:pPr>
              <w:jc w:val="center"/>
              <w:rPr>
                <w:rFonts w:hint="eastAsia" w:ascii="宋体" w:hAnsi="宋体"/>
                <w:color w:val="auto"/>
                <w:sz w:val="24"/>
                <w:lang w:val="en-US" w:eastAsia="zh-CN"/>
              </w:rPr>
            </w:pPr>
            <w:r>
              <w:rPr>
                <w:rFonts w:hint="eastAsia"/>
                <w:b w:val="0"/>
                <w:bCs/>
                <w:sz w:val="21"/>
                <w:szCs w:val="21"/>
                <w:lang w:eastAsia="zh-CN"/>
              </w:rPr>
              <w:t>内蒙古锡林郭勒盟多伦县多伦湖景区</w:t>
            </w:r>
          </w:p>
        </w:tc>
        <w:tc>
          <w:tcPr>
            <w:tcW w:w="458" w:type="pct"/>
            <w:noWrap w:val="0"/>
            <w:vAlign w:val="center"/>
          </w:tcPr>
          <w:p>
            <w:pPr>
              <w:jc w:val="center"/>
              <w:rPr>
                <w:rFonts w:hint="eastAsia" w:ascii="宋体" w:hAnsi="宋体"/>
                <w:color w:val="auto"/>
                <w:sz w:val="24"/>
                <w:lang w:val="en-US" w:eastAsia="zh-CN"/>
              </w:rPr>
            </w:pPr>
            <w:r>
              <w:rPr>
                <w:rFonts w:hint="default" w:ascii="宋体" w:hAnsi="宋体" w:eastAsia="宋体" w:cs="宋体"/>
                <w:spacing w:val="0"/>
                <w:sz w:val="24"/>
                <w:vertAlign w:val="baseline"/>
                <w:lang w:val="en-US" w:eastAsia="zh-CN"/>
              </w:rPr>
              <w:t>一年</w:t>
            </w:r>
          </w:p>
        </w:tc>
        <w:tc>
          <w:tcPr>
            <w:tcW w:w="668" w:type="pct"/>
            <w:noWrap w:val="0"/>
            <w:vAlign w:val="center"/>
          </w:tcPr>
          <w:p>
            <w:pPr>
              <w:jc w:val="center"/>
              <w:rPr>
                <w:rFonts w:hint="default" w:ascii="宋体" w:hAnsi="宋体"/>
                <w:color w:val="auto"/>
                <w:sz w:val="24"/>
                <w:lang w:val="en-US" w:eastAsia="zh-CN"/>
              </w:rPr>
            </w:pPr>
            <w:r>
              <w:rPr>
                <w:rFonts w:hint="eastAsia" w:ascii="宋体" w:hAnsi="宋体" w:eastAsia="宋体" w:cs="宋体"/>
                <w:sz w:val="24"/>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3" w:type="pct"/>
            <w:noWrap w:val="0"/>
            <w:vAlign w:val="center"/>
          </w:tcPr>
          <w:p>
            <w:pPr>
              <w:keepNext w:val="0"/>
              <w:keepLines w:val="0"/>
              <w:widowControl/>
              <w:suppressLineNumbers w:val="0"/>
              <w:spacing w:line="360" w:lineRule="auto"/>
              <w:jc w:val="center"/>
              <w:rPr>
                <w:rFonts w:hint="eastAsia" w:ascii="宋体" w:hAnsi="宋体"/>
                <w:color w:val="auto"/>
                <w:sz w:val="24"/>
                <w:lang w:val="en-US" w:eastAsia="zh-CN"/>
              </w:rPr>
            </w:pPr>
            <w:r>
              <w:rPr>
                <w:rFonts w:hint="eastAsia" w:ascii="宋体" w:hAnsi="宋体" w:cs="宋体"/>
                <w:i w:val="0"/>
                <w:color w:val="auto"/>
                <w:kern w:val="0"/>
                <w:sz w:val="22"/>
                <w:szCs w:val="22"/>
                <w:u w:val="none"/>
                <w:lang w:val="en-US" w:eastAsia="zh-CN" w:bidi="ar"/>
              </w:rPr>
              <w:t>5</w:t>
            </w:r>
          </w:p>
        </w:tc>
        <w:tc>
          <w:tcPr>
            <w:tcW w:w="1513" w:type="pct"/>
            <w:noWrap w:val="0"/>
            <w:vAlign w:val="center"/>
          </w:tcPr>
          <w:p>
            <w:pPr>
              <w:ind w:left="0" w:leftChars="0"/>
              <w:jc w:val="center"/>
              <w:rPr>
                <w:rFonts w:hint="eastAsia" w:ascii="宋体" w:hAnsi="宋体"/>
                <w:color w:val="auto"/>
                <w:sz w:val="24"/>
                <w:lang w:val="en-US" w:eastAsia="zh-CN"/>
              </w:rPr>
            </w:pPr>
            <w:r>
              <w:rPr>
                <w:rFonts w:hint="eastAsia" w:ascii="宋体" w:hAnsi="宋体"/>
                <w:b w:val="0"/>
                <w:bCs/>
                <w:sz w:val="24"/>
                <w:szCs w:val="24"/>
                <w:lang w:eastAsia="zh-CN"/>
              </w:rPr>
              <w:t>绮望廊商铺</w:t>
            </w:r>
          </w:p>
        </w:tc>
        <w:tc>
          <w:tcPr>
            <w:tcW w:w="1926" w:type="pct"/>
            <w:noWrap w:val="0"/>
            <w:vAlign w:val="center"/>
          </w:tcPr>
          <w:p>
            <w:pPr>
              <w:jc w:val="center"/>
              <w:rPr>
                <w:rFonts w:hint="eastAsia" w:ascii="宋体" w:hAnsi="宋体"/>
                <w:color w:val="auto"/>
                <w:sz w:val="24"/>
                <w:lang w:val="en-US" w:eastAsia="zh-CN"/>
              </w:rPr>
            </w:pPr>
            <w:r>
              <w:rPr>
                <w:rFonts w:hint="eastAsia"/>
                <w:b w:val="0"/>
                <w:bCs/>
                <w:sz w:val="21"/>
                <w:szCs w:val="21"/>
                <w:lang w:eastAsia="zh-CN"/>
              </w:rPr>
              <w:t>内蒙古锡林郭勒盟多伦县多伦湖景区</w:t>
            </w:r>
          </w:p>
        </w:tc>
        <w:tc>
          <w:tcPr>
            <w:tcW w:w="458" w:type="pct"/>
            <w:noWrap w:val="0"/>
            <w:vAlign w:val="center"/>
          </w:tcPr>
          <w:p>
            <w:pPr>
              <w:jc w:val="center"/>
              <w:rPr>
                <w:rFonts w:hint="eastAsia" w:ascii="宋体" w:hAnsi="宋体"/>
                <w:color w:val="auto"/>
                <w:sz w:val="24"/>
                <w:lang w:val="en-US" w:eastAsia="zh-CN"/>
              </w:rPr>
            </w:pPr>
            <w:r>
              <w:rPr>
                <w:rFonts w:hint="default" w:ascii="宋体" w:hAnsi="宋体" w:eastAsia="宋体" w:cs="宋体"/>
                <w:spacing w:val="0"/>
                <w:sz w:val="24"/>
                <w:vertAlign w:val="baseline"/>
                <w:lang w:val="en-US" w:eastAsia="zh-CN"/>
              </w:rPr>
              <w:t>一年</w:t>
            </w:r>
          </w:p>
        </w:tc>
        <w:tc>
          <w:tcPr>
            <w:tcW w:w="668" w:type="pct"/>
            <w:noWrap w:val="0"/>
            <w:vAlign w:val="center"/>
          </w:tcPr>
          <w:p>
            <w:pPr>
              <w:jc w:val="center"/>
              <w:rPr>
                <w:rFonts w:hint="default" w:ascii="宋体" w:hAnsi="宋体"/>
                <w:color w:val="auto"/>
                <w:sz w:val="24"/>
                <w:lang w:val="en-US" w:eastAsia="zh-CN"/>
              </w:rPr>
            </w:pPr>
            <w:r>
              <w:rPr>
                <w:rFonts w:hint="eastAsia" w:ascii="宋体" w:hAnsi="宋体" w:eastAsia="宋体" w:cs="宋体"/>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3" w:type="pct"/>
            <w:noWrap w:val="0"/>
            <w:vAlign w:val="center"/>
          </w:tcPr>
          <w:p>
            <w:pPr>
              <w:keepNext w:val="0"/>
              <w:keepLines w:val="0"/>
              <w:widowControl/>
              <w:suppressLineNumbers w:val="0"/>
              <w:spacing w:line="360" w:lineRule="auto"/>
              <w:jc w:val="center"/>
              <w:rPr>
                <w:rFonts w:hint="default" w:ascii="宋体" w:hAnsi="宋体" w:cs="宋体"/>
                <w:i w:val="0"/>
                <w:color w:val="auto"/>
                <w:kern w:val="0"/>
                <w:sz w:val="22"/>
                <w:szCs w:val="22"/>
                <w:u w:val="none"/>
                <w:lang w:val="en-US" w:eastAsia="zh-CN" w:bidi="ar"/>
              </w:rPr>
            </w:pPr>
            <w:r>
              <w:rPr>
                <w:rFonts w:hint="eastAsia" w:ascii="宋体" w:hAnsi="宋体" w:cs="宋体"/>
                <w:i w:val="0"/>
                <w:color w:val="auto"/>
                <w:kern w:val="0"/>
                <w:sz w:val="22"/>
                <w:szCs w:val="22"/>
                <w:u w:val="none"/>
                <w:lang w:val="en-US" w:eastAsia="zh-CN" w:bidi="ar"/>
              </w:rPr>
              <w:t>6</w:t>
            </w:r>
          </w:p>
        </w:tc>
        <w:tc>
          <w:tcPr>
            <w:tcW w:w="1513" w:type="pct"/>
            <w:noWrap w:val="0"/>
            <w:vAlign w:val="center"/>
          </w:tcPr>
          <w:p>
            <w:pPr>
              <w:ind w:left="0" w:leftChars="0"/>
              <w:jc w:val="center"/>
              <w:rPr>
                <w:rFonts w:hint="eastAsia" w:ascii="宋体" w:hAnsi="宋体"/>
                <w:color w:val="auto"/>
                <w:sz w:val="24"/>
                <w:lang w:val="en-US" w:eastAsia="zh-CN"/>
              </w:rPr>
            </w:pPr>
            <w:r>
              <w:rPr>
                <w:rFonts w:hint="eastAsia" w:ascii="宋体" w:hAnsi="宋体"/>
                <w:b w:val="0"/>
                <w:bCs/>
                <w:sz w:val="24"/>
                <w:szCs w:val="24"/>
                <w:lang w:eastAsia="zh-CN"/>
              </w:rPr>
              <w:t>钓鱼岛商铺</w:t>
            </w:r>
          </w:p>
        </w:tc>
        <w:tc>
          <w:tcPr>
            <w:tcW w:w="1926" w:type="pct"/>
            <w:noWrap w:val="0"/>
            <w:vAlign w:val="center"/>
          </w:tcPr>
          <w:p>
            <w:pPr>
              <w:jc w:val="center"/>
              <w:rPr>
                <w:rFonts w:hint="eastAsia" w:ascii="宋体" w:hAnsi="宋体" w:eastAsia="宋体" w:cs="宋体"/>
                <w:i w:val="0"/>
                <w:color w:val="auto"/>
                <w:kern w:val="0"/>
                <w:sz w:val="22"/>
                <w:szCs w:val="22"/>
                <w:u w:val="none"/>
                <w:lang w:val="en-US" w:eastAsia="zh-CN" w:bidi="ar"/>
              </w:rPr>
            </w:pPr>
            <w:r>
              <w:rPr>
                <w:rFonts w:hint="eastAsia"/>
                <w:b w:val="0"/>
                <w:bCs/>
                <w:sz w:val="21"/>
                <w:szCs w:val="21"/>
                <w:lang w:eastAsia="zh-CN"/>
              </w:rPr>
              <w:t>内蒙古锡林郭勒盟多伦县多伦湖景区</w:t>
            </w:r>
          </w:p>
        </w:tc>
        <w:tc>
          <w:tcPr>
            <w:tcW w:w="458" w:type="pct"/>
            <w:noWrap w:val="0"/>
            <w:vAlign w:val="center"/>
          </w:tcPr>
          <w:p>
            <w:pPr>
              <w:jc w:val="center"/>
              <w:rPr>
                <w:rFonts w:hint="eastAsia" w:ascii="宋体" w:hAnsi="宋体" w:eastAsia="宋体" w:cs="宋体"/>
                <w:i w:val="0"/>
                <w:color w:val="auto"/>
                <w:kern w:val="0"/>
                <w:sz w:val="22"/>
                <w:szCs w:val="22"/>
                <w:u w:val="none"/>
                <w:lang w:val="en-US" w:eastAsia="zh-CN" w:bidi="ar"/>
              </w:rPr>
            </w:pPr>
            <w:r>
              <w:rPr>
                <w:rFonts w:hint="default" w:ascii="宋体" w:hAnsi="宋体" w:eastAsia="宋体" w:cs="宋体"/>
                <w:spacing w:val="0"/>
                <w:sz w:val="24"/>
                <w:vertAlign w:val="baseline"/>
                <w:lang w:val="en-US" w:eastAsia="zh-CN"/>
              </w:rPr>
              <w:t>一年</w:t>
            </w:r>
          </w:p>
        </w:tc>
        <w:tc>
          <w:tcPr>
            <w:tcW w:w="668" w:type="pct"/>
            <w:noWrap w:val="0"/>
            <w:vAlign w:val="center"/>
          </w:tcPr>
          <w:p>
            <w:pPr>
              <w:jc w:val="center"/>
              <w:rPr>
                <w:rFonts w:hint="eastAsia" w:ascii="宋体" w:hAnsi="宋体"/>
                <w:color w:val="auto"/>
                <w:sz w:val="24"/>
                <w:lang w:val="en-US" w:eastAsia="zh-CN"/>
              </w:rPr>
            </w:pPr>
            <w:r>
              <w:rPr>
                <w:rFonts w:hint="eastAsia" w:ascii="宋体" w:hAnsi="宋体" w:eastAsia="宋体" w:cs="宋体"/>
                <w:sz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3" w:type="pct"/>
            <w:noWrap w:val="0"/>
            <w:vAlign w:val="center"/>
          </w:tcPr>
          <w:p>
            <w:pPr>
              <w:keepNext w:val="0"/>
              <w:keepLines w:val="0"/>
              <w:widowControl/>
              <w:suppressLineNumbers w:val="0"/>
              <w:spacing w:line="360" w:lineRule="auto"/>
              <w:jc w:val="center"/>
              <w:rPr>
                <w:rFonts w:hint="default" w:ascii="宋体" w:hAnsi="宋体" w:cs="宋体"/>
                <w:i w:val="0"/>
                <w:color w:val="auto"/>
                <w:kern w:val="0"/>
                <w:sz w:val="22"/>
                <w:szCs w:val="22"/>
                <w:u w:val="none"/>
                <w:lang w:val="en-US" w:eastAsia="zh-CN" w:bidi="ar"/>
              </w:rPr>
            </w:pPr>
            <w:r>
              <w:rPr>
                <w:rFonts w:hint="eastAsia" w:ascii="宋体" w:hAnsi="宋体" w:cs="宋体"/>
                <w:i w:val="0"/>
                <w:color w:val="auto"/>
                <w:kern w:val="0"/>
                <w:sz w:val="22"/>
                <w:szCs w:val="22"/>
                <w:u w:val="none"/>
                <w:lang w:val="en-US" w:eastAsia="zh-CN" w:bidi="ar"/>
              </w:rPr>
              <w:t>7</w:t>
            </w:r>
          </w:p>
        </w:tc>
        <w:tc>
          <w:tcPr>
            <w:tcW w:w="1513" w:type="pct"/>
            <w:noWrap w:val="0"/>
            <w:vAlign w:val="center"/>
          </w:tcPr>
          <w:p>
            <w:pPr>
              <w:ind w:left="0" w:leftChars="0"/>
              <w:jc w:val="center"/>
              <w:rPr>
                <w:rFonts w:hint="eastAsia" w:ascii="宋体" w:hAnsi="宋体"/>
                <w:color w:val="auto"/>
                <w:sz w:val="24"/>
                <w:lang w:val="en-US" w:eastAsia="zh-CN"/>
              </w:rPr>
            </w:pPr>
            <w:r>
              <w:rPr>
                <w:rFonts w:hint="eastAsia" w:ascii="宋体" w:hAnsi="宋体"/>
                <w:b w:val="0"/>
                <w:bCs/>
                <w:sz w:val="24"/>
                <w:szCs w:val="24"/>
                <w:lang w:eastAsia="zh-CN"/>
              </w:rPr>
              <w:t>河道游船项目（含夜游）</w:t>
            </w:r>
          </w:p>
        </w:tc>
        <w:tc>
          <w:tcPr>
            <w:tcW w:w="1926" w:type="pct"/>
            <w:noWrap w:val="0"/>
            <w:vAlign w:val="center"/>
          </w:tcPr>
          <w:p>
            <w:pPr>
              <w:jc w:val="center"/>
              <w:rPr>
                <w:rFonts w:hint="eastAsia" w:ascii="宋体" w:hAnsi="宋体" w:eastAsia="宋体" w:cs="宋体"/>
                <w:i w:val="0"/>
                <w:color w:val="auto"/>
                <w:kern w:val="0"/>
                <w:sz w:val="22"/>
                <w:szCs w:val="22"/>
                <w:u w:val="none"/>
                <w:lang w:val="en-US" w:eastAsia="zh-CN" w:bidi="ar"/>
              </w:rPr>
            </w:pPr>
            <w:r>
              <w:rPr>
                <w:rFonts w:hint="eastAsia"/>
                <w:b w:val="0"/>
                <w:bCs/>
                <w:sz w:val="21"/>
                <w:szCs w:val="21"/>
                <w:lang w:eastAsia="zh-CN"/>
              </w:rPr>
              <w:t>内蒙古锡林郭勒盟多伦县多伦湖景区</w:t>
            </w:r>
          </w:p>
        </w:tc>
        <w:tc>
          <w:tcPr>
            <w:tcW w:w="458" w:type="pct"/>
            <w:noWrap w:val="0"/>
            <w:vAlign w:val="center"/>
          </w:tcPr>
          <w:p>
            <w:pPr>
              <w:jc w:val="center"/>
              <w:rPr>
                <w:rFonts w:hint="eastAsia" w:ascii="宋体" w:hAnsi="宋体" w:eastAsia="宋体" w:cs="宋体"/>
                <w:i w:val="0"/>
                <w:color w:val="auto"/>
                <w:kern w:val="0"/>
                <w:sz w:val="22"/>
                <w:szCs w:val="22"/>
                <w:u w:val="none"/>
                <w:lang w:val="en-US" w:eastAsia="zh-CN" w:bidi="ar"/>
              </w:rPr>
            </w:pPr>
            <w:r>
              <w:rPr>
                <w:rFonts w:hint="default" w:ascii="宋体" w:hAnsi="宋体" w:eastAsia="宋体" w:cs="宋体"/>
                <w:spacing w:val="0"/>
                <w:sz w:val="24"/>
                <w:vertAlign w:val="baseline"/>
                <w:lang w:val="en-US" w:eastAsia="zh-CN"/>
              </w:rPr>
              <w:t>一年</w:t>
            </w:r>
          </w:p>
        </w:tc>
        <w:tc>
          <w:tcPr>
            <w:tcW w:w="668" w:type="pct"/>
            <w:noWrap w:val="0"/>
            <w:vAlign w:val="center"/>
          </w:tcPr>
          <w:p>
            <w:pPr>
              <w:jc w:val="center"/>
              <w:rPr>
                <w:rFonts w:hint="eastAsia" w:ascii="宋体" w:hAnsi="宋体"/>
                <w:color w:val="auto"/>
                <w:sz w:val="24"/>
                <w:lang w:val="en-US" w:eastAsia="zh-CN"/>
              </w:rPr>
            </w:pPr>
            <w:r>
              <w:rPr>
                <w:rFonts w:hint="eastAsia" w:ascii="宋体" w:hAnsi="宋体" w:cs="宋体"/>
                <w:sz w:val="24"/>
                <w:lang w:val="en-US" w:eastAsia="zh-CN"/>
              </w:rPr>
              <w:t>10</w:t>
            </w:r>
          </w:p>
        </w:tc>
      </w:tr>
    </w:tbl>
    <w:p>
      <w:pPr>
        <w:numPr>
          <w:ilvl w:val="0"/>
          <w:numId w:val="0"/>
        </w:numPr>
        <w:spacing w:line="360" w:lineRule="auto"/>
        <w:rPr>
          <w:rFonts w:hint="eastAsia" w:ascii="宋体" w:hAnsi="宋体"/>
          <w:b/>
          <w:sz w:val="24"/>
          <w:lang w:val="en-US" w:eastAsia="zh-CN"/>
        </w:rPr>
      </w:pPr>
    </w:p>
    <w:p>
      <w:pPr>
        <w:spacing w:line="360" w:lineRule="auto"/>
        <w:ind w:firstLine="482" w:firstLineChars="200"/>
        <w:rPr>
          <w:rFonts w:hint="eastAsia" w:ascii="宋体" w:hAnsi="宋体"/>
          <w:b/>
          <w:sz w:val="24"/>
        </w:rPr>
      </w:pPr>
      <w:r>
        <w:rPr>
          <w:rFonts w:hint="eastAsia" w:ascii="宋体" w:hAnsi="宋体"/>
          <w:b/>
          <w:sz w:val="24"/>
        </w:rPr>
        <w:t>三、其他有关事项</w:t>
      </w:r>
    </w:p>
    <w:p>
      <w:pPr>
        <w:spacing w:line="360" w:lineRule="auto"/>
        <w:ind w:right="17" w:rightChars="8" w:firstLine="480" w:firstLineChars="200"/>
        <w:rPr>
          <w:rFonts w:hint="eastAsia" w:ascii="宋体" w:hAnsi="宋体"/>
          <w:sz w:val="24"/>
        </w:rPr>
      </w:pPr>
      <w:r>
        <w:rPr>
          <w:rFonts w:hint="eastAsia" w:ascii="宋体" w:hAnsi="宋体"/>
          <w:sz w:val="24"/>
        </w:rPr>
        <w:t>（</w:t>
      </w:r>
      <w:r>
        <w:rPr>
          <w:rFonts w:hint="eastAsia" w:ascii="宋体" w:hAnsi="宋体"/>
          <w:sz w:val="24"/>
          <w:lang w:eastAsia="zh-CN"/>
        </w:rPr>
        <w:t>一</w:t>
      </w:r>
      <w:r>
        <w:rPr>
          <w:rFonts w:hint="eastAsia" w:ascii="宋体" w:hAnsi="宋体"/>
          <w:sz w:val="24"/>
        </w:rPr>
        <w:t>）拍卖竞价</w:t>
      </w:r>
    </w:p>
    <w:p>
      <w:pPr>
        <w:spacing w:line="360" w:lineRule="auto"/>
        <w:ind w:firstLine="480" w:firstLineChars="200"/>
        <w:rPr>
          <w:rFonts w:hint="eastAsia" w:ascii="宋体" w:hAnsi="宋体"/>
          <w:sz w:val="24"/>
        </w:rPr>
      </w:pPr>
      <w:r>
        <w:rPr>
          <w:rFonts w:hint="eastAsia" w:ascii="宋体" w:hAnsi="宋体"/>
          <w:sz w:val="24"/>
        </w:rPr>
        <w:t>拍卖师宣布拍卖标的起拍价和竞价阶梯，并明确提示是否设有保留价。竞买人应报价，竞买人一经应价，不得撤回，当有更高应价时，其应价即丧失约束力。</w:t>
      </w:r>
    </w:p>
    <w:p>
      <w:pPr>
        <w:spacing w:line="360" w:lineRule="auto"/>
        <w:ind w:firstLine="480" w:firstLineChars="200"/>
        <w:rPr>
          <w:rFonts w:hint="eastAsia" w:ascii="宋体" w:hAnsi="宋体"/>
          <w:sz w:val="24"/>
        </w:rPr>
      </w:pPr>
      <w:r>
        <w:rPr>
          <w:rFonts w:hint="eastAsia" w:ascii="宋体" w:hAnsi="宋体"/>
          <w:sz w:val="24"/>
        </w:rPr>
        <w:t>（</w:t>
      </w:r>
      <w:r>
        <w:rPr>
          <w:rFonts w:hint="eastAsia" w:ascii="宋体" w:hAnsi="宋体"/>
          <w:sz w:val="24"/>
          <w:lang w:eastAsia="zh-CN"/>
        </w:rPr>
        <w:t>二</w:t>
      </w:r>
      <w:r>
        <w:rPr>
          <w:rFonts w:hint="eastAsia" w:ascii="宋体" w:hAnsi="宋体"/>
          <w:sz w:val="24"/>
        </w:rPr>
        <w:t>）签订《成交确认书》</w:t>
      </w:r>
    </w:p>
    <w:p>
      <w:pPr>
        <w:keepNext w:val="0"/>
        <w:keepLines w:val="0"/>
        <w:pageBreakBefore w:val="0"/>
        <w:kinsoku/>
        <w:wordWrap/>
        <w:overflowPunct/>
        <w:topLinePunct w:val="0"/>
        <w:autoSpaceDE/>
        <w:autoSpaceDN/>
        <w:bidi w:val="0"/>
        <w:adjustRightInd/>
        <w:snapToGrid/>
        <w:spacing w:line="360" w:lineRule="auto"/>
        <w:ind w:right="17" w:rightChars="8" w:firstLine="480" w:firstLineChars="200"/>
        <w:textAlignment w:val="auto"/>
        <w:rPr>
          <w:rFonts w:hint="eastAsia"/>
          <w:sz w:val="24"/>
        </w:rPr>
      </w:pPr>
      <w:r>
        <w:rPr>
          <w:rFonts w:hint="eastAsia" w:ascii="宋体" w:hAnsi="宋体"/>
          <w:sz w:val="24"/>
        </w:rPr>
        <w:t>确定买受人后，拍卖人与买受人当场签订《成交确认书》。买受人拒绝签订《成交确认书》也不能对抗拍卖成交结果的法律效力。</w:t>
      </w:r>
    </w:p>
    <w:p>
      <w:pPr>
        <w:pStyle w:val="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105" w:beforeAutospacing="0" w:after="105" w:afterAutospacing="0" w:line="270" w:lineRule="atLeast"/>
        <w:ind w:right="0" w:firstLine="480" w:firstLineChars="200"/>
        <w:rPr>
          <w:rFonts w:hint="eastAsia" w:ascii="宋体" w:hAnsi="宋体"/>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拍卖标的经拍卖成交的，买受人于拍卖成交之日起</w:t>
      </w:r>
      <w:r>
        <w:rPr>
          <w:rFonts w:hint="eastAsia" w:ascii="宋体" w:hAnsi="宋体"/>
          <w:color w:val="000000" w:themeColor="text1"/>
          <w:sz w:val="24"/>
          <w:lang w:val="en-US" w:eastAsia="zh-CN"/>
          <w14:textFill>
            <w14:solidFill>
              <w14:schemeClr w14:val="tx1"/>
            </w14:solidFill>
          </w14:textFill>
        </w:rPr>
        <w:t>5个工作日</w:t>
      </w:r>
      <w:r>
        <w:rPr>
          <w:rFonts w:hint="eastAsia" w:ascii="宋体" w:hAnsi="宋体"/>
          <w:color w:val="000000" w:themeColor="text1"/>
          <w:sz w:val="24"/>
          <w14:textFill>
            <w14:solidFill>
              <w14:schemeClr w14:val="tx1"/>
            </w14:solidFill>
          </w14:textFill>
        </w:rPr>
        <w:t>内将成交价款</w:t>
      </w:r>
      <w:r>
        <w:rPr>
          <w:rFonts w:hint="eastAsia" w:ascii="宋体" w:hAnsi="宋体"/>
          <w:color w:val="000000" w:themeColor="text1"/>
          <w:sz w:val="24"/>
          <w:lang w:eastAsia="zh-CN"/>
          <w14:textFill>
            <w14:solidFill>
              <w14:schemeClr w14:val="tx1"/>
            </w14:solidFill>
          </w14:textFill>
        </w:rPr>
        <w:t>及拍卖佣金（成交价款</w:t>
      </w:r>
      <w:r>
        <w:rPr>
          <w:rFonts w:hint="eastAsia" w:ascii="宋体" w:hAnsi="宋体"/>
          <w:color w:val="000000" w:themeColor="text1"/>
          <w:sz w:val="24"/>
          <w:lang w:val="en-US" w:eastAsia="zh-CN"/>
          <w14:textFill>
            <w14:solidFill>
              <w14:schemeClr w14:val="tx1"/>
            </w14:solidFill>
          </w14:textFill>
        </w:rPr>
        <w:t>5%</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交付到</w:t>
      </w:r>
      <w:r>
        <w:rPr>
          <w:rFonts w:hint="eastAsia" w:ascii="宋体" w:hAnsi="宋体"/>
          <w:color w:val="000000" w:themeColor="text1"/>
          <w:sz w:val="24"/>
          <w:lang w:val="en-US" w:eastAsia="zh-CN"/>
          <w14:textFill>
            <w14:solidFill>
              <w14:schemeClr w14:val="tx1"/>
            </w14:solidFill>
          </w14:textFill>
        </w:rPr>
        <w:t>拍卖人</w:t>
      </w:r>
      <w:r>
        <w:rPr>
          <w:rFonts w:hint="eastAsia" w:ascii="宋体" w:hAnsi="宋体"/>
          <w:color w:val="000000" w:themeColor="text1"/>
          <w:sz w:val="24"/>
          <w14:textFill>
            <w14:solidFill>
              <w14:schemeClr w14:val="tx1"/>
            </w14:solidFill>
          </w14:textFill>
        </w:rPr>
        <w:t>指定账户</w:t>
      </w:r>
      <w:r>
        <w:rPr>
          <w:rFonts w:hint="eastAsia" w:ascii="宋体" w:hAnsi="宋体"/>
          <w:color w:val="000000" w:themeColor="text1"/>
          <w:sz w:val="24"/>
          <w:lang w:eastAsia="zh-CN"/>
          <w14:textFill>
            <w14:solidFill>
              <w14:schemeClr w14:val="tx1"/>
            </w14:solidFill>
          </w14:textFill>
        </w:rPr>
        <w:t>，</w:t>
      </w:r>
    </w:p>
    <w:p>
      <w:pPr>
        <w:pStyle w:val="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105" w:beforeAutospacing="0" w:after="105" w:afterAutospacing="0" w:line="270" w:lineRule="atLeast"/>
        <w:ind w:right="0" w:firstLine="480" w:firstLineChars="200"/>
        <w:rPr>
          <w:rFonts w:hint="eastAsia" w:ascii="宋体" w:hAnsi="宋体" w:eastAsia="宋体" w:cs="宋体"/>
          <w:i w:val="0"/>
          <w:iCs w:val="0"/>
          <w:color w:val="auto"/>
          <w:spacing w:val="0"/>
          <w:sz w:val="24"/>
          <w:szCs w:val="24"/>
          <w:lang w:eastAsia="zh-CN"/>
        </w:rPr>
      </w:pPr>
      <w:r>
        <w:rPr>
          <w:rFonts w:hint="eastAsia" w:ascii="宋体" w:hAnsi="宋体" w:eastAsia="宋体" w:cs="宋体"/>
          <w:sz w:val="24"/>
          <w:lang w:val="en-US" w:eastAsia="zh-CN"/>
        </w:rPr>
        <w:t>标的4包括天湖渔村</w:t>
      </w:r>
      <w:r>
        <w:rPr>
          <w:rFonts w:hint="eastAsia" w:ascii="宋体" w:hAnsi="宋体" w:cs="宋体"/>
          <w:sz w:val="24"/>
          <w:lang w:val="en-US" w:eastAsia="zh-CN"/>
        </w:rPr>
        <w:t>、</w:t>
      </w:r>
      <w:r>
        <w:rPr>
          <w:rFonts w:hint="eastAsia" w:ascii="宋体" w:hAnsi="宋体" w:eastAsia="宋体" w:cs="宋体"/>
          <w:sz w:val="24"/>
          <w:lang w:val="en-US" w:eastAsia="zh-CN"/>
        </w:rPr>
        <w:t>假日酒店整体及星空房11间，设施完善，适合整体运营，现有员工将继续留任（客房11人，餐厅11人），以确保运营的连续性和稳定性，若经过考核发现员工不适合</w:t>
      </w:r>
      <w:r>
        <w:rPr>
          <w:rFonts w:hint="eastAsia" w:ascii="宋体" w:hAnsi="宋体" w:cs="宋体"/>
          <w:sz w:val="24"/>
          <w:lang w:val="en-US" w:eastAsia="zh-CN"/>
        </w:rPr>
        <w:t>原有工作岗位</w:t>
      </w:r>
      <w:r>
        <w:rPr>
          <w:rFonts w:hint="eastAsia" w:ascii="宋体" w:hAnsi="宋体" w:eastAsia="宋体" w:cs="宋体"/>
          <w:sz w:val="24"/>
          <w:lang w:val="en-US" w:eastAsia="zh-CN"/>
        </w:rPr>
        <w:t>，可与总公司协商解决，待遇工资不低于现有工资标准，出租酒店按照原有风格进行维护和经营，承包方支付员工工资和其他运营成本，</w:t>
      </w:r>
      <w:r>
        <w:rPr>
          <w:rFonts w:hint="eastAsia" w:ascii="宋体" w:hAnsi="宋体" w:eastAsia="宋体" w:cs="宋体"/>
          <w:i w:val="0"/>
          <w:iCs w:val="0"/>
          <w:color w:val="auto"/>
          <w:spacing w:val="0"/>
          <w:sz w:val="24"/>
          <w:szCs w:val="24"/>
          <w:lang w:eastAsia="zh-CN"/>
        </w:rPr>
        <w:t>鼓励投资者保持蒙餐和多伦湖鱼为主的特色</w:t>
      </w:r>
      <w:r>
        <w:rPr>
          <w:rFonts w:hint="eastAsia" w:ascii="宋体" w:hAnsi="宋体" w:cs="宋体"/>
          <w:i w:val="0"/>
          <w:iCs w:val="0"/>
          <w:color w:val="auto"/>
          <w:spacing w:val="0"/>
          <w:sz w:val="24"/>
          <w:szCs w:val="24"/>
          <w:lang w:eastAsia="zh-CN"/>
        </w:rPr>
        <w:t>，同时精选食材，确保服务质量和客户的满意度。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270" w:lineRule="atLeast"/>
        <w:ind w:right="0" w:firstLine="480" w:firstLineChars="200"/>
        <w:rPr>
          <w:rFonts w:hint="eastAsia" w:eastAsia="宋体"/>
          <w:color w:val="000000" w:themeColor="text1"/>
          <w:sz w:val="24"/>
          <w:lang w:val="en-US" w:eastAsia="zh-CN"/>
          <w14:textFill>
            <w14:solidFill>
              <w14:schemeClr w14:val="tx1"/>
            </w14:solidFill>
          </w14:textFill>
        </w:rPr>
      </w:pPr>
      <w:r>
        <w:rPr>
          <w:rFonts w:hint="eastAsia" w:ascii="宋体" w:hAnsi="宋体" w:cs="宋体"/>
          <w:i w:val="0"/>
          <w:iCs w:val="0"/>
          <w:color w:val="auto"/>
          <w:spacing w:val="0"/>
          <w:sz w:val="24"/>
          <w:szCs w:val="24"/>
          <w:lang w:val="en-US" w:eastAsia="zh-CN"/>
        </w:rPr>
        <w:t>3</w:t>
      </w:r>
      <w:r>
        <w:rPr>
          <w:rFonts w:hint="eastAsia" w:ascii="宋体" w:hAnsi="宋体" w:eastAsia="宋体" w:cs="宋体"/>
          <w:i w:val="0"/>
          <w:iCs w:val="0"/>
          <w:color w:val="auto"/>
          <w:spacing w:val="0"/>
          <w:sz w:val="24"/>
          <w:szCs w:val="24"/>
          <w:lang w:val="en-US" w:eastAsia="zh-CN"/>
        </w:rPr>
        <w:t>、标的7包括河道花船2条，小木船4条，皮筏10条。</w:t>
      </w:r>
    </w:p>
    <w:p>
      <w:pPr>
        <w:widowControl/>
        <w:numPr>
          <w:ilvl w:val="0"/>
          <w:numId w:val="0"/>
        </w:numPr>
        <w:spacing w:line="360" w:lineRule="auto"/>
        <w:ind w:firstLine="480" w:firstLineChars="200"/>
        <w:rPr>
          <w:rFonts w:hint="eastAsia"/>
          <w:color w:val="000000" w:themeColor="text1"/>
          <w:sz w:val="24"/>
          <w14:textFill>
            <w14:solidFill>
              <w14:schemeClr w14:val="tx1"/>
            </w14:solidFill>
          </w14:textFill>
        </w:rPr>
      </w:pPr>
      <w:r>
        <w:rPr>
          <w:rFonts w:hint="eastAsia" w:ascii="宋体" w:hAnsi="宋体"/>
          <w:sz w:val="24"/>
          <w:lang w:val="en-US" w:eastAsia="zh-CN"/>
        </w:rPr>
        <w:t>4、</w:t>
      </w:r>
      <w:r>
        <w:rPr>
          <w:rFonts w:hint="eastAsia" w:ascii="宋体" w:hAnsi="宋体"/>
          <w:sz w:val="24"/>
        </w:rPr>
        <w:t>未成交者由</w:t>
      </w:r>
      <w:r>
        <w:rPr>
          <w:rFonts w:hint="eastAsia" w:ascii="宋体" w:hAnsi="宋体"/>
          <w:sz w:val="24"/>
          <w:lang w:val="en-US" w:eastAsia="zh-CN"/>
        </w:rPr>
        <w:t>锡林郭勒盟锦元惠丰拍卖招标有限公司</w:t>
      </w:r>
      <w:r>
        <w:rPr>
          <w:rFonts w:hint="eastAsia" w:ascii="宋体" w:hAnsi="宋体"/>
          <w:sz w:val="24"/>
        </w:rPr>
        <w:t>在5个工作日内退还所交竞买保证金 （不计息）。买受人拒签成交确认书或在规定期限内未缴清全部价款及拍卖佣金的，则视为违约，其所交纳的竞买保证金不予退还。对于违约者，视为自动放弃该标的，出让人有权将拍卖标的收回再行拍卖或以其它方式转让。标的再行出让</w:t>
      </w:r>
      <w:r>
        <w:rPr>
          <w:rFonts w:hint="eastAsia" w:ascii="宋体" w:hAnsi="宋体"/>
          <w:color w:val="000000"/>
          <w:sz w:val="24"/>
        </w:rPr>
        <w:t>的，原买受人不得参与竞买，并支付第一次出让活动中本人及委托人应当支付的佣金；再行出让的价款低于原出让价款的，原买受人应当补足差额。</w:t>
      </w:r>
    </w:p>
    <w:p>
      <w:pPr>
        <w:keepNext w:val="0"/>
        <w:keepLines w:val="0"/>
        <w:pageBreakBefore w:val="0"/>
        <w:kinsoku/>
        <w:wordWrap/>
        <w:overflowPunct/>
        <w:topLinePunct w:val="0"/>
        <w:autoSpaceDE/>
        <w:autoSpaceDN/>
        <w:bidi w:val="0"/>
        <w:adjustRightInd/>
        <w:snapToGrid/>
        <w:spacing w:line="360" w:lineRule="auto"/>
        <w:ind w:right="26" w:firstLine="480" w:firstLineChars="200"/>
        <w:textAlignment w:val="auto"/>
        <w:rPr>
          <w:rFonts w:hint="eastAsia" w:ascii="宋体" w:hAnsi="宋体"/>
          <w:sz w:val="24"/>
        </w:rPr>
      </w:pPr>
      <w:r>
        <w:rPr>
          <w:rFonts w:hint="eastAsia" w:ascii="宋体" w:hAnsi="宋体"/>
          <w:color w:val="000000"/>
          <w:sz w:val="24"/>
          <w:lang w:val="en-US" w:eastAsia="zh-CN"/>
        </w:rPr>
        <w:t>5</w:t>
      </w:r>
      <w:r>
        <w:rPr>
          <w:rFonts w:hint="eastAsia" w:ascii="宋体" w:hAnsi="宋体"/>
          <w:color w:val="000000"/>
          <w:sz w:val="24"/>
        </w:rPr>
        <w:t>、拍卖人对拍卖标的的真伪或品质不承担瑕疵担保责任。拍</w:t>
      </w:r>
      <w:r>
        <w:rPr>
          <w:rFonts w:hint="eastAsia" w:ascii="宋体" w:hAnsi="宋体"/>
          <w:sz w:val="24"/>
        </w:rPr>
        <w:t>卖人通过拍卖目录、勘察报告等方式对拍卖标的所作的介绍与评价均为参考性意见，不构成对拍卖标的的任何担保。竞买人承诺自行审看拍卖标的原物，并对自己竞买拍卖标的的行为承担法律责任。拍卖人应向竞买人说明委托人已告知的拍卖标的的瑕疵，并合法披露拍卖标的的相关信息。</w:t>
      </w:r>
    </w:p>
    <w:p>
      <w:pPr>
        <w:keepNext w:val="0"/>
        <w:keepLines w:val="0"/>
        <w:pageBreakBefore w:val="0"/>
        <w:kinsoku/>
        <w:wordWrap/>
        <w:overflowPunct/>
        <w:topLinePunct w:val="0"/>
        <w:autoSpaceDE/>
        <w:autoSpaceDN/>
        <w:bidi w:val="0"/>
        <w:adjustRightInd/>
        <w:snapToGrid/>
        <w:spacing w:line="360" w:lineRule="auto"/>
        <w:ind w:right="26" w:firstLine="480" w:firstLineChars="200"/>
        <w:textAlignment w:val="auto"/>
        <w:rPr>
          <w:rFonts w:hint="eastAsia" w:ascii="宋体" w:hAnsi="宋体"/>
          <w:sz w:val="24"/>
        </w:rPr>
      </w:pPr>
      <w:r>
        <w:rPr>
          <w:rFonts w:hint="eastAsia" w:ascii="宋体" w:hAnsi="宋体"/>
          <w:sz w:val="24"/>
          <w:lang w:val="en-US" w:eastAsia="zh-CN"/>
        </w:rPr>
        <w:t>6</w:t>
      </w:r>
      <w:r>
        <w:rPr>
          <w:rFonts w:hint="eastAsia" w:ascii="宋体" w:hAnsi="宋体"/>
          <w:sz w:val="24"/>
        </w:rPr>
        <w:t>、竞买人应妥善保管竞买号牌，不得将竞买号牌出借他人使用，否则，竞买人须对他人使用其竞买号牌竞买拍卖标的的行为承担全部法律责任。</w:t>
      </w:r>
    </w:p>
    <w:p>
      <w:pPr>
        <w:keepNext w:val="0"/>
        <w:keepLines w:val="0"/>
        <w:pageBreakBefore w:val="0"/>
        <w:kinsoku/>
        <w:wordWrap/>
        <w:overflowPunct/>
        <w:topLinePunct w:val="0"/>
        <w:autoSpaceDE/>
        <w:autoSpaceDN/>
        <w:bidi w:val="0"/>
        <w:adjustRightInd/>
        <w:snapToGrid/>
        <w:spacing w:line="360" w:lineRule="auto"/>
        <w:ind w:firstLine="420" w:firstLineChars="175"/>
        <w:textAlignment w:val="auto"/>
        <w:rPr>
          <w:rFonts w:hint="eastAsia" w:ascii="宋体" w:hAnsi="宋体" w:cs="Arial"/>
          <w:kern w:val="0"/>
          <w:sz w:val="24"/>
        </w:rPr>
      </w:pPr>
      <w:r>
        <w:rPr>
          <w:rFonts w:hint="eastAsia" w:ascii="宋体" w:hAnsi="宋体"/>
          <w:sz w:val="24"/>
          <w:lang w:val="en-US" w:eastAsia="zh-CN"/>
        </w:rPr>
        <w:t>7</w:t>
      </w:r>
      <w:r>
        <w:rPr>
          <w:rFonts w:hint="eastAsia" w:ascii="宋体" w:hAnsi="宋体"/>
          <w:sz w:val="24"/>
        </w:rPr>
        <w:t>、拍卖人及其工作人员不得以竞买人的身份参与自己组织的拍卖活动，并不得委托他人代为竞买。</w:t>
      </w:r>
    </w:p>
    <w:p>
      <w:pPr>
        <w:spacing w:line="360" w:lineRule="auto"/>
        <w:ind w:left="4059" w:leftChars="1933" w:firstLine="3600" w:firstLineChars="1500"/>
        <w:rPr>
          <w:rFonts w:hint="eastAsia" w:ascii="宋体" w:hAnsi="宋体" w:cs="Arial"/>
          <w:kern w:val="0"/>
          <w:sz w:val="24"/>
        </w:rPr>
      </w:pPr>
    </w:p>
    <w:p>
      <w:pPr>
        <w:spacing w:line="360" w:lineRule="auto"/>
        <w:ind w:firstLine="3360" w:firstLineChars="1400"/>
        <w:rPr>
          <w:rFonts w:hint="eastAsia" w:ascii="宋体" w:hAnsi="宋体"/>
          <w:sz w:val="24"/>
          <w:lang w:val="en-US" w:eastAsia="zh-CN"/>
        </w:rPr>
      </w:pPr>
      <w:r>
        <w:rPr>
          <w:rFonts w:hint="eastAsia" w:ascii="宋体" w:hAnsi="宋体"/>
          <w:sz w:val="24"/>
          <w:lang w:val="en-US" w:eastAsia="zh-CN"/>
        </w:rPr>
        <w:t>锡林郭勒盟锦元惠丰拍卖招标有限公司</w:t>
      </w:r>
    </w:p>
    <w:p>
      <w:pPr>
        <w:spacing w:line="360" w:lineRule="auto"/>
        <w:ind w:firstLine="4560" w:firstLineChars="1900"/>
        <w:rPr>
          <w:rFonts w:hint="eastAsia"/>
          <w:color w:val="FF0000"/>
        </w:rPr>
      </w:pPr>
      <w:r>
        <w:rPr>
          <w:rFonts w:hint="eastAsia" w:ascii="宋体" w:hAnsi="宋体"/>
          <w:color w:val="auto"/>
          <w:sz w:val="24"/>
          <w:lang w:val="en-US" w:eastAsia="zh-CN"/>
        </w:rPr>
        <w:t>2024</w:t>
      </w:r>
      <w:r>
        <w:rPr>
          <w:rFonts w:hint="eastAsia" w:ascii="宋体" w:hAnsi="宋体"/>
          <w:color w:val="auto"/>
          <w:sz w:val="24"/>
        </w:rPr>
        <w:t>年</w:t>
      </w:r>
      <w:r>
        <w:rPr>
          <w:rFonts w:hint="eastAsia" w:ascii="宋体" w:hAnsi="宋体"/>
          <w:color w:val="auto"/>
          <w:sz w:val="24"/>
          <w:lang w:val="en-US" w:eastAsia="zh-CN"/>
        </w:rPr>
        <w:t>05</w:t>
      </w:r>
      <w:r>
        <w:rPr>
          <w:rFonts w:hint="eastAsia" w:ascii="宋体" w:hAnsi="宋体"/>
          <w:color w:val="auto"/>
          <w:sz w:val="24"/>
        </w:rPr>
        <w:t>月</w:t>
      </w:r>
      <w:r>
        <w:rPr>
          <w:rFonts w:hint="eastAsia" w:ascii="宋体" w:hAnsi="宋体"/>
          <w:color w:val="auto"/>
          <w:sz w:val="24"/>
          <w:lang w:val="en-US" w:eastAsia="zh-CN"/>
        </w:rPr>
        <w:t>13</w:t>
      </w:r>
      <w:r>
        <w:rPr>
          <w:rFonts w:hint="eastAsia" w:ascii="宋体" w:hAnsi="宋体"/>
          <w:color w:val="auto"/>
          <w:sz w:val="24"/>
        </w:rPr>
        <w:t>日</w:t>
      </w:r>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6"/>
    <w:family w:val="modern"/>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923068"/>
    <w:multiLevelType w:val="singleLevel"/>
    <w:tmpl w:val="8C923068"/>
    <w:lvl w:ilvl="0" w:tentative="0">
      <w:start w:val="1"/>
      <w:numFmt w:val="decimal"/>
      <w:suff w:val="nothing"/>
      <w:lvlText w:val="%1、"/>
      <w:lvlJc w:val="left"/>
    </w:lvl>
  </w:abstractNum>
  <w:abstractNum w:abstractNumId="1">
    <w:nsid w:val="A62D4D8C"/>
    <w:multiLevelType w:val="singleLevel"/>
    <w:tmpl w:val="A62D4D8C"/>
    <w:lvl w:ilvl="0" w:tentative="0">
      <w:start w:val="4"/>
      <w:numFmt w:val="decimal"/>
      <w:suff w:val="nothing"/>
      <w:lvlText w:val="%1、"/>
      <w:lvlJc w:val="left"/>
    </w:lvl>
  </w:abstractNum>
  <w:abstractNum w:abstractNumId="2">
    <w:nsid w:val="1E0A13EF"/>
    <w:multiLevelType w:val="singleLevel"/>
    <w:tmpl w:val="1E0A13EF"/>
    <w:lvl w:ilvl="0" w:tentative="0">
      <w:start w:val="3"/>
      <w:numFmt w:val="chineseCounting"/>
      <w:suff w:val="nothing"/>
      <w:lvlText w:val="%1、"/>
      <w:lvlJc w:val="left"/>
      <w:rPr>
        <w:rFonts w:hint="eastAsia"/>
      </w:rPr>
    </w:lvl>
  </w:abstractNum>
  <w:abstractNum w:abstractNumId="3">
    <w:nsid w:val="2F8EE169"/>
    <w:multiLevelType w:val="singleLevel"/>
    <w:tmpl w:val="2F8EE169"/>
    <w:lvl w:ilvl="0" w:tentative="0">
      <w:start w:val="5"/>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jYTJlNDdmNTAwYjRlZGE1MmJkM2QwMjllZDgyZWQifQ=="/>
  </w:docVars>
  <w:rsids>
    <w:rsidRoot w:val="3C925196"/>
    <w:rsid w:val="3C925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正文文本_"/>
    <w:basedOn w:val="5"/>
    <w:link w:val="7"/>
    <w:autoRedefine/>
    <w:unhideWhenUsed/>
    <w:qFormat/>
    <w:uiPriority w:val="99"/>
    <w:rPr>
      <w:rFonts w:hint="eastAsia" w:ascii="MingLiU" w:hAnsi="MingLiU" w:eastAsia="MingLiU" w:cstheme="minorBidi"/>
      <w:sz w:val="19"/>
      <w:szCs w:val="19"/>
      <w:lang w:val="zh-CN" w:eastAsia="zh-CN"/>
    </w:rPr>
  </w:style>
  <w:style w:type="paragraph" w:customStyle="1" w:styleId="7">
    <w:name w:val="正文文本1"/>
    <w:link w:val="6"/>
    <w:autoRedefine/>
    <w:unhideWhenUsed/>
    <w:qFormat/>
    <w:uiPriority w:val="99"/>
    <w:pPr>
      <w:shd w:val="clear" w:color="auto" w:fill="FFFFFF"/>
      <w:spacing w:beforeLines="0" w:after="200" w:afterLines="0"/>
      <w:ind w:firstLine="400"/>
    </w:pPr>
    <w:rPr>
      <w:rFonts w:hint="eastAsia" w:ascii="MingLiU" w:hAnsi="MingLiU" w:eastAsia="MingLiU" w:cstheme="minorBidi"/>
      <w:sz w:val="19"/>
      <w:szCs w:val="19"/>
      <w:lang w:val="zh-CN"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2024-05-21T07:54:00Z</dcterms:created>
  <dc:creator>企业用户_270752556</dc:creator>
  <cp:lastModifiedBy>企业用户_270752556</cp:lastModifiedBy>
  <dcterms:modified xsi:type="dcterms:W3CDTF">2024-05-21T08:01:49Z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39F862A46FB5465198314F80F9D79BD4_11</vt:lpwstr>
  </property>
</Properties>
</file>